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F2ED0" w14:textId="77777777" w:rsidR="006E2B0E" w:rsidRDefault="006E2B0E" w:rsidP="006E2B0E">
      <w:pPr>
        <w:suppressAutoHyphens w:val="0"/>
      </w:pPr>
      <w:bookmarkStart w:id="0" w:name="OLE_LINK3"/>
      <w:bookmarkStart w:id="1" w:name="OLE_LINK4"/>
    </w:p>
    <w:p w14:paraId="7A83CB5C" w14:textId="77777777" w:rsidR="006E2B0E" w:rsidRDefault="006E2B0E" w:rsidP="006E2B0E">
      <w:pPr>
        <w:numPr>
          <w:ilvl w:val="2"/>
          <w:numId w:val="1"/>
        </w:numPr>
        <w:suppressAutoHyphens w:val="0"/>
        <w:ind w:left="0" w:firstLine="0"/>
        <w:jc w:val="center"/>
        <w:rPr>
          <w:b/>
          <w:bCs/>
        </w:rPr>
      </w:pPr>
      <w:r w:rsidRPr="00A80B98">
        <w:rPr>
          <w:b/>
          <w:bCs/>
        </w:rPr>
        <w:t>Perceived W</w:t>
      </w:r>
      <w:r>
        <w:rPr>
          <w:b/>
          <w:bCs/>
        </w:rPr>
        <w:t>orkplace Gender Discrimination a</w:t>
      </w:r>
      <w:r w:rsidRPr="00A80B98">
        <w:rPr>
          <w:b/>
          <w:bCs/>
        </w:rPr>
        <w:t>nd Employee</w:t>
      </w:r>
      <w:r>
        <w:rPr>
          <w:b/>
          <w:bCs/>
        </w:rPr>
        <w:t xml:space="preserve"> Consequences: </w:t>
      </w:r>
    </w:p>
    <w:p w14:paraId="2D1D748B" w14:textId="7EC95326" w:rsidR="006E2B0E" w:rsidRPr="00A80B98" w:rsidRDefault="006E2B0E" w:rsidP="006E2B0E">
      <w:pPr>
        <w:numPr>
          <w:ilvl w:val="2"/>
          <w:numId w:val="1"/>
        </w:numPr>
        <w:suppressAutoHyphens w:val="0"/>
        <w:ind w:left="0" w:firstLine="0"/>
        <w:jc w:val="center"/>
        <w:rPr>
          <w:b/>
          <w:bCs/>
        </w:rPr>
      </w:pPr>
      <w:r>
        <w:rPr>
          <w:b/>
          <w:bCs/>
        </w:rPr>
        <w:t xml:space="preserve">A Meta-Analysis and Complementary Studies Considering </w:t>
      </w:r>
      <w:r w:rsidRPr="00A80B98">
        <w:rPr>
          <w:b/>
          <w:bCs/>
        </w:rPr>
        <w:t>Country Context</w:t>
      </w:r>
    </w:p>
    <w:p w14:paraId="4A9BA336" w14:textId="77777777" w:rsidR="00A96EC9" w:rsidRDefault="00A96EC9" w:rsidP="00A96EC9">
      <w:pPr>
        <w:numPr>
          <w:ilvl w:val="2"/>
          <w:numId w:val="1"/>
        </w:numPr>
        <w:suppressAutoHyphens w:val="0"/>
        <w:ind w:left="0" w:firstLine="0"/>
        <w:jc w:val="center"/>
        <w:rPr>
          <w:b/>
          <w:bCs/>
        </w:rPr>
      </w:pPr>
    </w:p>
    <w:p w14:paraId="60C05A46" w14:textId="3CB5C257" w:rsidR="006E2B0E" w:rsidRDefault="006E2B0E" w:rsidP="006E2B0E">
      <w:pPr>
        <w:suppressAutoHyphens w:val="0"/>
        <w:jc w:val="center"/>
      </w:pPr>
    </w:p>
    <w:p w14:paraId="6FEC8EE5" w14:textId="77777777" w:rsidR="00E86DBF" w:rsidRPr="00E86DBF" w:rsidRDefault="00E86DBF" w:rsidP="00E86DBF">
      <w:pPr>
        <w:suppressAutoHyphens w:val="0"/>
        <w:rPr>
          <w:b/>
        </w:rPr>
      </w:pPr>
      <w:r w:rsidRPr="00E86DBF">
        <w:rPr>
          <w:b/>
        </w:rPr>
        <w:t>Cite:</w:t>
      </w:r>
    </w:p>
    <w:p w14:paraId="6132D4CF" w14:textId="77777777" w:rsidR="00E86DBF" w:rsidRDefault="00E86DBF" w:rsidP="00E86DBF">
      <w:pPr>
        <w:suppressAutoHyphens w:val="0"/>
      </w:pPr>
    </w:p>
    <w:p w14:paraId="318A6054" w14:textId="55918949" w:rsidR="00E86DBF" w:rsidRDefault="00901446" w:rsidP="00E86DBF">
      <w:pPr>
        <w:suppressAutoHyphens w:val="0"/>
        <w:rPr>
          <w:color w:val="222222"/>
          <w:shd w:val="clear" w:color="auto" w:fill="FFFFFF"/>
        </w:rPr>
      </w:pPr>
      <w:r>
        <w:rPr>
          <w:color w:val="222222"/>
          <w:shd w:val="clear" w:color="auto" w:fill="FFFFFF"/>
        </w:rPr>
        <w:t>Triana, M., Jayasinghe, M., Pieper, J, Delgado, D., Li, M. (2019). Perceived workplace gender discrimination and employee consequences: A meta-analysis and complementary studies considering country context. </w:t>
      </w:r>
      <w:r>
        <w:rPr>
          <w:b/>
          <w:bCs/>
          <w:i/>
          <w:iCs/>
          <w:color w:val="222222"/>
          <w:shd w:val="clear" w:color="auto" w:fill="FFFFFF"/>
        </w:rPr>
        <w:t>Journal of Management</w:t>
      </w:r>
      <w:r>
        <w:rPr>
          <w:color w:val="222222"/>
          <w:shd w:val="clear" w:color="auto" w:fill="FFFFFF"/>
        </w:rPr>
        <w:t>, </w:t>
      </w:r>
      <w:r>
        <w:rPr>
          <w:i/>
          <w:iCs/>
          <w:color w:val="222222"/>
          <w:shd w:val="clear" w:color="auto" w:fill="FFFFFF"/>
        </w:rPr>
        <w:t>45</w:t>
      </w:r>
      <w:r>
        <w:rPr>
          <w:color w:val="222222"/>
          <w:shd w:val="clear" w:color="auto" w:fill="FFFFFF"/>
        </w:rPr>
        <w:t>,</w:t>
      </w:r>
      <w:r>
        <w:rPr>
          <w:rFonts w:ascii="TimesNewRomanPSMT" w:eastAsia="TimesNewRomanPSMT" w:hint="eastAsia"/>
          <w:color w:val="222222"/>
          <w:sz w:val="18"/>
          <w:szCs w:val="18"/>
          <w:shd w:val="clear" w:color="auto" w:fill="FFFFFF"/>
        </w:rPr>
        <w:t> </w:t>
      </w:r>
      <w:r>
        <w:rPr>
          <w:color w:val="222222"/>
          <w:shd w:val="clear" w:color="auto" w:fill="FFFFFF"/>
        </w:rPr>
        <w:t>2419-2447.</w:t>
      </w:r>
    </w:p>
    <w:p w14:paraId="4B4C9E0B" w14:textId="77777777" w:rsidR="00901446" w:rsidRDefault="00901446" w:rsidP="00E86DBF">
      <w:pPr>
        <w:suppressAutoHyphens w:val="0"/>
      </w:pPr>
    </w:p>
    <w:p w14:paraId="249E4797" w14:textId="77777777" w:rsidR="00E86DBF" w:rsidRDefault="00E86DBF" w:rsidP="00E86DBF">
      <w:pPr>
        <w:suppressAutoHyphens w:val="0"/>
      </w:pPr>
    </w:p>
    <w:p w14:paraId="672D33DC" w14:textId="77777777" w:rsidR="00E86DBF" w:rsidRDefault="00E86DBF" w:rsidP="00E86DBF">
      <w:r>
        <w:t>The final article may be found at the publisher web page:</w:t>
      </w:r>
    </w:p>
    <w:p w14:paraId="4C2B6E1D" w14:textId="77777777" w:rsidR="00E86DBF" w:rsidRDefault="00901446" w:rsidP="00E86DBF">
      <w:pPr>
        <w:suppressAutoHyphens w:val="0"/>
      </w:pPr>
      <w:hyperlink r:id="rId8" w:history="1">
        <w:r w:rsidR="00E86DBF">
          <w:rPr>
            <w:rStyle w:val="Hyperlink"/>
            <w:rFonts w:eastAsia="Calibri"/>
          </w:rPr>
          <w:t>https://journals.sagepub.com/doi/full/10.1177/0149206318776772</w:t>
        </w:r>
      </w:hyperlink>
    </w:p>
    <w:p w14:paraId="392C3DA8" w14:textId="77777777" w:rsidR="00E86DBF" w:rsidRDefault="00E86DBF" w:rsidP="00E86DBF">
      <w:pPr>
        <w:suppressAutoHyphens w:val="0"/>
        <w:jc w:val="center"/>
      </w:pPr>
    </w:p>
    <w:p w14:paraId="714617D1" w14:textId="77777777" w:rsidR="00E86DBF" w:rsidRDefault="00E86DBF" w:rsidP="00E86DBF">
      <w:pPr>
        <w:suppressAutoHyphens w:val="0"/>
        <w:jc w:val="center"/>
      </w:pPr>
    </w:p>
    <w:p w14:paraId="23ED5A60" w14:textId="77777777" w:rsidR="00E86DBF" w:rsidRDefault="00E86DBF" w:rsidP="006E2B0E">
      <w:pPr>
        <w:suppressAutoHyphens w:val="0"/>
        <w:jc w:val="center"/>
      </w:pPr>
    </w:p>
    <w:p w14:paraId="4E5412A2" w14:textId="77777777" w:rsidR="006E2B0E" w:rsidRDefault="006E2B0E" w:rsidP="006E2B0E">
      <w:pPr>
        <w:suppressAutoHyphens w:val="0"/>
        <w:jc w:val="center"/>
      </w:pPr>
      <w:r>
        <w:t>María del Carmen Triana</w:t>
      </w:r>
    </w:p>
    <w:p w14:paraId="0A5BBD93" w14:textId="77777777" w:rsidR="006E2B0E" w:rsidRDefault="006E2B0E" w:rsidP="006E2B0E">
      <w:pPr>
        <w:suppressAutoHyphens w:val="0"/>
        <w:jc w:val="center"/>
      </w:pPr>
      <w:r>
        <w:t>University of Wisconsin-Madison</w:t>
      </w:r>
    </w:p>
    <w:p w14:paraId="7C847961" w14:textId="77777777" w:rsidR="006E2B0E" w:rsidRDefault="006E2B0E" w:rsidP="006E2B0E">
      <w:pPr>
        <w:suppressAutoHyphens w:val="0"/>
        <w:jc w:val="center"/>
      </w:pPr>
    </w:p>
    <w:p w14:paraId="01317B4C" w14:textId="77777777" w:rsidR="006E2B0E" w:rsidRDefault="006E2B0E" w:rsidP="006E2B0E">
      <w:pPr>
        <w:suppressAutoHyphens w:val="0"/>
        <w:jc w:val="center"/>
      </w:pPr>
      <w:r>
        <w:t>Mevan Jayasinghe</w:t>
      </w:r>
    </w:p>
    <w:p w14:paraId="6253CC3A" w14:textId="77777777" w:rsidR="006E2B0E" w:rsidRDefault="006E2B0E" w:rsidP="006E2B0E">
      <w:pPr>
        <w:suppressAutoHyphens w:val="0"/>
        <w:jc w:val="center"/>
      </w:pPr>
      <w:r>
        <w:t>Michigan State University</w:t>
      </w:r>
    </w:p>
    <w:p w14:paraId="43CEC110" w14:textId="77777777" w:rsidR="006E2B0E" w:rsidRDefault="006E2B0E" w:rsidP="006E2B0E">
      <w:pPr>
        <w:suppressAutoHyphens w:val="0"/>
        <w:jc w:val="center"/>
      </w:pPr>
    </w:p>
    <w:p w14:paraId="6DD148A5" w14:textId="77777777" w:rsidR="006E2B0E" w:rsidRDefault="006E2B0E" w:rsidP="006E2B0E">
      <w:pPr>
        <w:suppressAutoHyphens w:val="0"/>
        <w:jc w:val="center"/>
      </w:pPr>
      <w:r>
        <w:t>Jenna R. Pieper</w:t>
      </w:r>
    </w:p>
    <w:p w14:paraId="10DCC6DF" w14:textId="77777777" w:rsidR="006E2B0E" w:rsidRDefault="006E2B0E" w:rsidP="006E2B0E">
      <w:pPr>
        <w:suppressAutoHyphens w:val="0"/>
        <w:jc w:val="center"/>
      </w:pPr>
      <w:r>
        <w:t>University of Nebraska-Lincoln</w:t>
      </w:r>
    </w:p>
    <w:p w14:paraId="00C62644" w14:textId="77777777" w:rsidR="006E2B0E" w:rsidRDefault="006E2B0E" w:rsidP="006E2B0E">
      <w:pPr>
        <w:suppressAutoHyphens w:val="0"/>
        <w:jc w:val="center"/>
      </w:pPr>
    </w:p>
    <w:p w14:paraId="4CB6BC98" w14:textId="77777777" w:rsidR="006E2B0E" w:rsidRDefault="006E2B0E" w:rsidP="006E2B0E">
      <w:pPr>
        <w:suppressAutoHyphens w:val="0"/>
        <w:jc w:val="center"/>
      </w:pPr>
      <w:r>
        <w:t xml:space="preserve">Dora Maria </w:t>
      </w:r>
      <w:r w:rsidRPr="00AC5212">
        <w:t>Delgado</w:t>
      </w:r>
    </w:p>
    <w:p w14:paraId="196DEE69" w14:textId="77777777" w:rsidR="006E2B0E" w:rsidRDefault="006E2B0E" w:rsidP="006E2B0E">
      <w:pPr>
        <w:spacing w:line="480" w:lineRule="auto"/>
        <w:jc w:val="center"/>
        <w:rPr>
          <w:lang w:val="es-ES"/>
        </w:rPr>
      </w:pPr>
      <w:r w:rsidRPr="00360043">
        <w:rPr>
          <w:lang w:val="es-ES"/>
        </w:rPr>
        <w:t xml:space="preserve">San Antonio </w:t>
      </w:r>
      <w:proofErr w:type="spellStart"/>
      <w:r w:rsidRPr="00360043">
        <w:rPr>
          <w:lang w:val="es-ES"/>
        </w:rPr>
        <w:t>Independent</w:t>
      </w:r>
      <w:proofErr w:type="spellEnd"/>
      <w:r w:rsidRPr="00360043">
        <w:rPr>
          <w:lang w:val="es-ES"/>
        </w:rPr>
        <w:t xml:space="preserve"> </w:t>
      </w:r>
      <w:proofErr w:type="spellStart"/>
      <w:r w:rsidRPr="00360043">
        <w:rPr>
          <w:lang w:val="es-ES"/>
        </w:rPr>
        <w:t>School</w:t>
      </w:r>
      <w:proofErr w:type="spellEnd"/>
      <w:r w:rsidRPr="00360043">
        <w:rPr>
          <w:lang w:val="es-ES"/>
        </w:rPr>
        <w:t xml:space="preserve"> </w:t>
      </w:r>
      <w:proofErr w:type="spellStart"/>
      <w:r w:rsidRPr="00360043">
        <w:rPr>
          <w:lang w:val="es-ES"/>
        </w:rPr>
        <w:t>District</w:t>
      </w:r>
      <w:proofErr w:type="spellEnd"/>
    </w:p>
    <w:p w14:paraId="295FF342" w14:textId="20FDA067" w:rsidR="006E2B0E" w:rsidRDefault="006E2B0E" w:rsidP="006E2B0E">
      <w:pPr>
        <w:suppressAutoHyphens w:val="0"/>
        <w:jc w:val="center"/>
      </w:pPr>
      <w:r>
        <w:t>Mingxiang Li</w:t>
      </w:r>
    </w:p>
    <w:p w14:paraId="6103FEE5" w14:textId="77777777" w:rsidR="006E2B0E" w:rsidRDefault="006E2B0E" w:rsidP="006E2B0E">
      <w:pPr>
        <w:suppressAutoHyphens w:val="0"/>
        <w:jc w:val="center"/>
      </w:pPr>
      <w:r>
        <w:t>Florida Atlantic University</w:t>
      </w:r>
    </w:p>
    <w:p w14:paraId="715681D0" w14:textId="77777777" w:rsidR="006E2B0E" w:rsidRDefault="006E2B0E" w:rsidP="006E2B0E">
      <w:pPr>
        <w:suppressAutoHyphens w:val="0"/>
        <w:jc w:val="center"/>
      </w:pPr>
    </w:p>
    <w:p w14:paraId="1EBADBD1" w14:textId="77777777" w:rsidR="006E2B0E" w:rsidRPr="00AC5212" w:rsidRDefault="006E2B0E" w:rsidP="00012822">
      <w:pPr>
        <w:suppressAutoHyphens w:val="0"/>
        <w:rPr>
          <w:b/>
          <w:i/>
          <w:lang w:eastAsia="en-US"/>
        </w:rPr>
      </w:pPr>
      <w:r w:rsidRPr="00AC5212">
        <w:rPr>
          <w:b/>
          <w:i/>
          <w:lang w:eastAsia="en-US"/>
        </w:rPr>
        <w:t xml:space="preserve">Acknowledgements: </w:t>
      </w:r>
      <w:r w:rsidRPr="00AC5212">
        <w:rPr>
          <w:lang w:eastAsia="en-US"/>
        </w:rPr>
        <w:t xml:space="preserve">Supplemental material for this article is available at </w:t>
      </w:r>
      <w:hyperlink r:id="rId9" w:history="1">
        <w:r w:rsidRPr="00AC5212">
          <w:rPr>
            <w:color w:val="0000FF" w:themeColor="hyperlink"/>
            <w:u w:val="single"/>
            <w:lang w:eastAsia="en-US"/>
          </w:rPr>
          <w:t>http://xxx.sagepub.com/supplemental</w:t>
        </w:r>
      </w:hyperlink>
      <w:r w:rsidRPr="00AC5212">
        <w:rPr>
          <w:lang w:eastAsia="en-US"/>
        </w:rPr>
        <w:t xml:space="preserve">. We would like to thank our action editor, </w:t>
      </w:r>
      <w:r>
        <w:rPr>
          <w:lang w:eastAsia="en-US"/>
        </w:rPr>
        <w:t>Eden King</w:t>
      </w:r>
      <w:r w:rsidRPr="00AC5212">
        <w:rPr>
          <w:lang w:eastAsia="en-US"/>
        </w:rPr>
        <w:t xml:space="preserve">, and two anonymous reviewers for their insightful suggestions and guidance throughout the revision process. </w:t>
      </w:r>
      <w:r>
        <w:rPr>
          <w:lang w:eastAsia="en-US"/>
        </w:rPr>
        <w:t xml:space="preserve">We are grateful to Barry Gerhart for his comments on an earlier version of the paper. We thank Larry Williams, Winfred Arthur, Jr., </w:t>
      </w:r>
      <w:r w:rsidRPr="00C421E3">
        <w:rPr>
          <w:lang w:eastAsia="en-US"/>
        </w:rPr>
        <w:t>Jason Huang</w:t>
      </w:r>
      <w:r>
        <w:rPr>
          <w:lang w:eastAsia="en-US"/>
        </w:rPr>
        <w:t>,</w:t>
      </w:r>
      <w:r w:rsidRPr="00C421E3">
        <w:rPr>
          <w:lang w:eastAsia="en-US"/>
        </w:rPr>
        <w:t xml:space="preserve"> and </w:t>
      </w:r>
      <w:proofErr w:type="spellStart"/>
      <w:r w:rsidRPr="00C421E3">
        <w:rPr>
          <w:lang w:eastAsia="en-US"/>
        </w:rPr>
        <w:t>Chenwei</w:t>
      </w:r>
      <w:proofErr w:type="spellEnd"/>
      <w:r w:rsidRPr="00C421E3">
        <w:rPr>
          <w:lang w:eastAsia="en-US"/>
        </w:rPr>
        <w:t xml:space="preserve"> Liao</w:t>
      </w:r>
      <w:r>
        <w:rPr>
          <w:lang w:eastAsia="en-US"/>
        </w:rPr>
        <w:t xml:space="preserve"> for providing their expert opinion on a previous revision of the paper. We are also grateful to Dora Triana, Manuel Triana, Sonora Triana, and David Hill for their contributions to the project. </w:t>
      </w:r>
    </w:p>
    <w:p w14:paraId="2C8E5465" w14:textId="77777777" w:rsidR="00012822" w:rsidRDefault="00012822" w:rsidP="00012822">
      <w:pPr>
        <w:suppressAutoHyphens w:val="0"/>
        <w:rPr>
          <w:b/>
          <w:i/>
          <w:lang w:eastAsia="en-US"/>
        </w:rPr>
      </w:pPr>
    </w:p>
    <w:p w14:paraId="018F9DEC" w14:textId="4884DFE6" w:rsidR="006E2B0E" w:rsidRPr="00AC5212" w:rsidRDefault="006E2B0E" w:rsidP="00012822">
      <w:pPr>
        <w:suppressAutoHyphens w:val="0"/>
        <w:rPr>
          <w:szCs w:val="22"/>
          <w:lang w:eastAsia="en-US"/>
        </w:rPr>
      </w:pPr>
      <w:r w:rsidRPr="00AC5212">
        <w:rPr>
          <w:b/>
          <w:i/>
          <w:lang w:eastAsia="en-US"/>
        </w:rPr>
        <w:t xml:space="preserve">Corresponding author: </w:t>
      </w:r>
      <w:r w:rsidRPr="00AC5212">
        <w:rPr>
          <w:lang w:eastAsia="en-US"/>
        </w:rPr>
        <w:t>María Triana</w:t>
      </w:r>
      <w:r>
        <w:rPr>
          <w:lang w:eastAsia="en-US"/>
        </w:rPr>
        <w:t>,</w:t>
      </w:r>
      <w:r w:rsidRPr="00AC5212">
        <w:rPr>
          <w:lang w:eastAsia="en-US"/>
        </w:rPr>
        <w:t xml:space="preserve"> Department of Management</w:t>
      </w:r>
      <w:r>
        <w:rPr>
          <w:lang w:eastAsia="en-US"/>
        </w:rPr>
        <w:t xml:space="preserve"> and Human Resources</w:t>
      </w:r>
      <w:r w:rsidRPr="00AC5212">
        <w:rPr>
          <w:lang w:eastAsia="en-US"/>
        </w:rPr>
        <w:t xml:space="preserve">, </w:t>
      </w:r>
      <w:r>
        <w:rPr>
          <w:lang w:eastAsia="en-US"/>
        </w:rPr>
        <w:t xml:space="preserve">Wisconsin School </w:t>
      </w:r>
      <w:r w:rsidRPr="00AC5212">
        <w:rPr>
          <w:lang w:eastAsia="en-US"/>
        </w:rPr>
        <w:t xml:space="preserve">of Business, University of </w:t>
      </w:r>
      <w:r>
        <w:rPr>
          <w:lang w:eastAsia="en-US"/>
        </w:rPr>
        <w:t>Wisconsin-Madison</w:t>
      </w:r>
      <w:r w:rsidRPr="00AC5212">
        <w:rPr>
          <w:lang w:eastAsia="en-US"/>
        </w:rPr>
        <w:t xml:space="preserve">, </w:t>
      </w:r>
      <w:r>
        <w:t>975 University Avenue, Madison, WI 53706-1323</w:t>
      </w:r>
      <w:r w:rsidRPr="00AC5212">
        <w:rPr>
          <w:szCs w:val="22"/>
          <w:lang w:eastAsia="en-US"/>
        </w:rPr>
        <w:t xml:space="preserve">. </w:t>
      </w:r>
    </w:p>
    <w:p w14:paraId="1A511842" w14:textId="77777777" w:rsidR="00012822" w:rsidRDefault="00012822" w:rsidP="00012822">
      <w:pPr>
        <w:suppressAutoHyphens w:val="0"/>
        <w:rPr>
          <w:b/>
          <w:i/>
          <w:szCs w:val="22"/>
          <w:lang w:eastAsia="en-US"/>
        </w:rPr>
      </w:pPr>
    </w:p>
    <w:p w14:paraId="7DAA14A9" w14:textId="10B56785" w:rsidR="006E2B0E" w:rsidRPr="00AC5212" w:rsidRDefault="006E2B0E" w:rsidP="00012822">
      <w:pPr>
        <w:suppressAutoHyphens w:val="0"/>
        <w:rPr>
          <w:b/>
          <w:lang w:eastAsia="en-US"/>
        </w:rPr>
      </w:pPr>
      <w:r w:rsidRPr="00AC5212">
        <w:rPr>
          <w:b/>
          <w:i/>
          <w:szCs w:val="22"/>
          <w:lang w:eastAsia="en-US"/>
        </w:rPr>
        <w:t>Email:</w:t>
      </w:r>
      <w:r w:rsidRPr="00AC5212">
        <w:rPr>
          <w:szCs w:val="22"/>
          <w:lang w:eastAsia="en-US"/>
        </w:rPr>
        <w:t xml:space="preserve"> </w:t>
      </w:r>
      <w:r w:rsidRPr="00AC5212">
        <w:rPr>
          <w:rFonts w:eastAsia="Calibri"/>
        </w:rPr>
        <w:t>maria.triana@wisc.edu</w:t>
      </w:r>
    </w:p>
    <w:p w14:paraId="00E7A4DD" w14:textId="77777777" w:rsidR="006E2B0E" w:rsidRDefault="006E2B0E" w:rsidP="006E2B0E">
      <w:pPr>
        <w:suppressAutoHyphens w:val="0"/>
        <w:jc w:val="center"/>
      </w:pPr>
      <w:r w:rsidRPr="00AC5212">
        <w:t xml:space="preserve"> </w:t>
      </w:r>
    </w:p>
    <w:p w14:paraId="5F276BBC" w14:textId="77777777" w:rsidR="006E2B0E" w:rsidRDefault="006E2B0E" w:rsidP="006E2B0E">
      <w:pPr>
        <w:suppressAutoHyphens w:val="0"/>
        <w:jc w:val="center"/>
        <w:rPr>
          <w:b/>
        </w:rPr>
      </w:pPr>
      <w:r>
        <w:rPr>
          <w:b/>
        </w:rPr>
        <w:lastRenderedPageBreak/>
        <w:t>ABSTRACT</w:t>
      </w:r>
    </w:p>
    <w:p w14:paraId="065CEC1C" w14:textId="77777777" w:rsidR="006E2B0E" w:rsidRDefault="006E2B0E" w:rsidP="006E2B0E">
      <w:pPr>
        <w:suppressAutoHyphens w:val="0"/>
        <w:jc w:val="center"/>
        <w:rPr>
          <w:b/>
        </w:rPr>
      </w:pPr>
    </w:p>
    <w:p w14:paraId="35DA955C" w14:textId="0596DFF5" w:rsidR="006E2B0E" w:rsidRDefault="006E2B0E" w:rsidP="006E2B0E">
      <w:pPr>
        <w:widowControl w:val="0"/>
        <w:spacing w:line="480" w:lineRule="auto"/>
        <w:ind w:firstLine="720"/>
      </w:pPr>
      <w:r>
        <w:t xml:space="preserve">We draw on relative deprivation theory to examine how the context influences the relationship between employees’ perceptions of gender discrimination and outcomes at work using a meta-analysis and two complementary empirical studies. Our meta-analysis </w:t>
      </w:r>
      <w:r w:rsidRPr="001908A5">
        <w:t>includes 85</w:t>
      </w:r>
      <w:r>
        <w:t xml:space="preserve"> correlations from published and unpublished studies from around the world to assess correlates of perceived workplace gender discrimination that have significant implications for employees. We extend relative deprivation theory to identify national differences in labor laws and cultural norms as contextual factors which affect the threshold for feeling deprived and moderate the relationship between perceived workplace gender discrimination and employee outcomes. Findings show that perceived gender discrimination is negatively related to job attitudes, physical health outcomes and behaviors, psychological health, and work-related outcomes (job-based and relationship-based). Correlations between perceived workplace gender discrimination and physical health outcomes and behaviors were stronger in countries with more broadly integrated labor policies and stringently enforced labor practices focused on promoting gender equality. Correlations were also stronger in countries with more gender egalitarian cultural practices across multiple employee outcomes of perceived workplace gender discrimination. Further, results from two complementary studies (one employee survey and one experiment) supported the meta-analytic findings and provided evidence of the relative deprivation rationale central to our theory. Implications for research and practice include the need to consider the influence of the country context in organizational decisions to prevent and address gender discrimination and its consequences for employees and, ultimately, for employers.</w:t>
      </w:r>
    </w:p>
    <w:p w14:paraId="1DA0C430" w14:textId="77777777" w:rsidR="006E2B0E" w:rsidRDefault="006E2B0E" w:rsidP="006E2B0E">
      <w:pPr>
        <w:widowControl w:val="0"/>
        <w:spacing w:line="480" w:lineRule="auto"/>
        <w:rPr>
          <w:b/>
          <w:bCs/>
          <w:szCs w:val="20"/>
        </w:rPr>
      </w:pPr>
      <w:r w:rsidRPr="0078559D">
        <w:rPr>
          <w:b/>
          <w:i/>
        </w:rPr>
        <w:t>Keywords</w:t>
      </w:r>
      <w:r w:rsidRPr="001D70A0">
        <w:rPr>
          <w:i/>
        </w:rPr>
        <w:t>:</w:t>
      </w:r>
      <w:r>
        <w:t xml:space="preserve"> Relative deprivation theory; gender discrimination; job attitudes; physical health outcomes and behaviors; psychological health; job-related outcomes; country context; culture</w:t>
      </w:r>
    </w:p>
    <w:p w14:paraId="71D3E98C" w14:textId="77777777" w:rsidR="006E2B0E" w:rsidRDefault="006E2B0E" w:rsidP="002A030F">
      <w:pPr>
        <w:pStyle w:val="Heading3"/>
        <w:keepNext w:val="0"/>
        <w:widowControl w:val="0"/>
        <w:suppressAutoHyphens w:val="0"/>
        <w:ind w:left="0" w:firstLine="0"/>
        <w:jc w:val="center"/>
        <w:sectPr w:rsidR="006E2B0E" w:rsidSect="00866420">
          <w:headerReference w:type="default" r:id="rId10"/>
          <w:headerReference w:type="first" r:id="rId11"/>
          <w:endnotePr>
            <w:numFmt w:val="decimal"/>
          </w:endnotePr>
          <w:pgSz w:w="12240" w:h="15840"/>
          <w:pgMar w:top="1440" w:right="1440" w:bottom="1440" w:left="1440" w:header="720" w:footer="720" w:gutter="0"/>
          <w:pgNumType w:start="1"/>
          <w:cols w:space="720"/>
          <w:titlePg/>
          <w:docGrid w:linePitch="360"/>
        </w:sectPr>
      </w:pPr>
    </w:p>
    <w:p w14:paraId="531167D5" w14:textId="3E92A71B" w:rsidR="006F0DFA" w:rsidRPr="003A06B2" w:rsidRDefault="006F0DFA" w:rsidP="002A030F">
      <w:pPr>
        <w:pStyle w:val="Heading3"/>
        <w:keepNext w:val="0"/>
        <w:widowControl w:val="0"/>
        <w:suppressAutoHyphens w:val="0"/>
        <w:ind w:left="0" w:firstLine="0"/>
        <w:jc w:val="center"/>
      </w:pPr>
      <w:r w:rsidRPr="003A06B2">
        <w:lastRenderedPageBreak/>
        <w:t xml:space="preserve">PERCEIVED </w:t>
      </w:r>
      <w:r w:rsidR="006717DF">
        <w:t xml:space="preserve">WORKPLACE </w:t>
      </w:r>
      <w:r w:rsidRPr="003A06B2">
        <w:t xml:space="preserve">GENDER DISCRIMINATION AND </w:t>
      </w:r>
      <w:r w:rsidR="00760887">
        <w:t>EMPLOYEE</w:t>
      </w:r>
      <w:r w:rsidRPr="003A06B2">
        <w:t xml:space="preserve"> CONSEQUENCES: </w:t>
      </w:r>
      <w:r w:rsidR="00760887">
        <w:t>A</w:t>
      </w:r>
      <w:r w:rsidR="006717DF">
        <w:t xml:space="preserve"> META-ANALY</w:t>
      </w:r>
      <w:r w:rsidR="00760887">
        <w:t>SIS</w:t>
      </w:r>
      <w:r w:rsidR="006717DF">
        <w:t xml:space="preserve"> AND </w:t>
      </w:r>
      <w:r w:rsidR="00760887">
        <w:t>COMPLEMENTARY</w:t>
      </w:r>
      <w:r w:rsidR="006717DF">
        <w:t xml:space="preserve"> STUDIES</w:t>
      </w:r>
      <w:r w:rsidRPr="003A06B2">
        <w:t xml:space="preserve"> CONSIDERING COUNTRY CONTEXT</w:t>
      </w:r>
    </w:p>
    <w:p w14:paraId="5DC92EB8" w14:textId="5CEC6E9C" w:rsidR="00E76CA7" w:rsidRDefault="000B373A" w:rsidP="002A030F">
      <w:pPr>
        <w:widowControl w:val="0"/>
        <w:suppressAutoHyphens w:val="0"/>
        <w:spacing w:line="480" w:lineRule="auto"/>
        <w:ind w:firstLine="720"/>
      </w:pPr>
      <w:r>
        <w:t>Preventing</w:t>
      </w:r>
      <w:r w:rsidR="00BC5DE9">
        <w:t xml:space="preserve"> gender discrimination </w:t>
      </w:r>
      <w:r w:rsidR="0067682E">
        <w:t>in workplace</w:t>
      </w:r>
      <w:r w:rsidR="00815AE8">
        <w:t>s around the world</w:t>
      </w:r>
      <w:r w:rsidR="00BC5DE9">
        <w:t xml:space="preserve"> </w:t>
      </w:r>
      <w:r w:rsidR="0076609B">
        <w:t>is</w:t>
      </w:r>
      <w:r w:rsidR="00BC5DE9">
        <w:t xml:space="preserve"> not only a moral but </w:t>
      </w:r>
      <w:r w:rsidR="006D5180">
        <w:t xml:space="preserve">also </w:t>
      </w:r>
      <w:r w:rsidR="00BC5DE9">
        <w:t>an economic imperative.</w:t>
      </w:r>
      <w:r w:rsidR="00E42C24">
        <w:t xml:space="preserve"> Discrimination can lead to </w:t>
      </w:r>
      <w:r w:rsidR="00BC5DE9">
        <w:t xml:space="preserve">both </w:t>
      </w:r>
      <w:r w:rsidR="00B63062">
        <w:t>financial</w:t>
      </w:r>
      <w:r w:rsidR="00BC5DE9">
        <w:t xml:space="preserve"> losses and d</w:t>
      </w:r>
      <w:r w:rsidR="00C71411">
        <w:t>ecreased innovation</w:t>
      </w:r>
      <w:r w:rsidR="003B56F5">
        <w:t>,</w:t>
      </w:r>
      <w:r w:rsidR="00C71411">
        <w:t xml:space="preserve"> </w:t>
      </w:r>
      <w:r w:rsidR="00801020">
        <w:t>which</w:t>
      </w:r>
      <w:r w:rsidR="00C71411">
        <w:t xml:space="preserve"> stifle</w:t>
      </w:r>
      <w:r w:rsidR="00BC5DE9">
        <w:t xml:space="preserve"> </w:t>
      </w:r>
      <w:r w:rsidR="007E5BC7">
        <w:t xml:space="preserve">the </w:t>
      </w:r>
      <w:r w:rsidR="00BC5DE9">
        <w:t>growth potential and competitiveness</w:t>
      </w:r>
      <w:r w:rsidR="001D4426">
        <w:t xml:space="preserve"> </w:t>
      </w:r>
      <w:r w:rsidR="007E5BC7">
        <w:t xml:space="preserve">of firms and countries </w:t>
      </w:r>
      <w:r w:rsidR="001D4426">
        <w:t>(Cornejo, 2007</w:t>
      </w:r>
      <w:r w:rsidR="00442BD7">
        <w:t xml:space="preserve">; </w:t>
      </w:r>
      <w:proofErr w:type="spellStart"/>
      <w:r w:rsidR="00442BD7">
        <w:t>Dipboye</w:t>
      </w:r>
      <w:proofErr w:type="spellEnd"/>
      <w:r w:rsidR="00442BD7">
        <w:t xml:space="preserve"> &amp; Colella, 2005</w:t>
      </w:r>
      <w:r w:rsidR="001D4426">
        <w:t>)</w:t>
      </w:r>
      <w:r w:rsidR="00801020">
        <w:t xml:space="preserve">. </w:t>
      </w:r>
      <w:r w:rsidR="0076609B">
        <w:t xml:space="preserve">This is why gender discrimination and </w:t>
      </w:r>
      <w:r w:rsidR="007E5BC7">
        <w:t>in</w:t>
      </w:r>
      <w:r w:rsidR="0076609B">
        <w:t>equality are recognized as significant</w:t>
      </w:r>
      <w:r w:rsidR="00FB38E3">
        <w:t>,</w:t>
      </w:r>
      <w:r w:rsidR="0076609B">
        <w:t xml:space="preserve"> ongoing global concerns by the United Nations (UN) and other global organizations in their goals for sustainable development (George, Howard-Grenvi</w:t>
      </w:r>
      <w:r w:rsidR="006D0DD0">
        <w:t>l</w:t>
      </w:r>
      <w:r w:rsidR="0076609B">
        <w:t xml:space="preserve">le, Joshi, &amp; </w:t>
      </w:r>
      <w:proofErr w:type="spellStart"/>
      <w:r w:rsidR="0076609B">
        <w:t>Tihanyi</w:t>
      </w:r>
      <w:proofErr w:type="spellEnd"/>
      <w:r w:rsidR="0076609B">
        <w:t xml:space="preserve">, 2016). </w:t>
      </w:r>
      <w:r w:rsidR="007E5BC7">
        <w:t>The</w:t>
      </w:r>
      <w:r w:rsidR="00E43895">
        <w:t>se global concerns</w:t>
      </w:r>
      <w:r w:rsidR="007E5BC7">
        <w:t xml:space="preserve"> are also key areas of action for p</w:t>
      </w:r>
      <w:r w:rsidR="0076609B">
        <w:t xml:space="preserve">ublic policy and business leaders across nations (United Nations </w:t>
      </w:r>
      <w:r w:rsidR="005E477C">
        <w:t>Population Fund</w:t>
      </w:r>
      <w:r w:rsidR="0076609B">
        <w:t>, 2016).</w:t>
      </w:r>
    </w:p>
    <w:p w14:paraId="0A12289B" w14:textId="77777777" w:rsidR="00F3312C" w:rsidRDefault="00890C44" w:rsidP="002A030F">
      <w:pPr>
        <w:widowControl w:val="0"/>
        <w:suppressAutoHyphens w:val="0"/>
        <w:spacing w:line="480" w:lineRule="auto"/>
        <w:ind w:firstLine="720"/>
      </w:pPr>
      <w:r>
        <w:t xml:space="preserve">As an </w:t>
      </w:r>
      <w:r w:rsidR="00F14EC9">
        <w:t>example, a</w:t>
      </w:r>
      <w:r w:rsidR="00304BDC">
        <w:t>lthough the U</w:t>
      </w:r>
      <w:r w:rsidR="00F14EC9">
        <w:t xml:space="preserve">nited </w:t>
      </w:r>
      <w:r w:rsidR="00304BDC">
        <w:t>S</w:t>
      </w:r>
      <w:r w:rsidR="00F14EC9">
        <w:t>tates (U.S</w:t>
      </w:r>
      <w:r w:rsidR="00304BDC">
        <w:t>.</w:t>
      </w:r>
      <w:r w:rsidR="00F14EC9">
        <w:t>)</w:t>
      </w:r>
      <w:r w:rsidR="00304BDC">
        <w:t xml:space="preserve"> has robust, gender-sensitive labor legislation (Shaffer</w:t>
      </w:r>
      <w:r w:rsidR="00A1448B">
        <w:t>,</w:t>
      </w:r>
      <w:r w:rsidR="003104A6">
        <w:t xml:space="preserve"> </w:t>
      </w:r>
      <w:r w:rsidR="00A1448B" w:rsidRPr="00161572">
        <w:t xml:space="preserve">Joplin, Bell, Lau, &amp; </w:t>
      </w:r>
      <w:proofErr w:type="spellStart"/>
      <w:r w:rsidR="00A1448B" w:rsidRPr="00161572">
        <w:t>Oguz</w:t>
      </w:r>
      <w:proofErr w:type="spellEnd"/>
      <w:r w:rsidR="00304BDC">
        <w:t xml:space="preserve">, 2000) and </w:t>
      </w:r>
      <w:r w:rsidR="00FB6CE3">
        <w:t>its</w:t>
      </w:r>
      <w:r w:rsidR="00304BDC">
        <w:t xml:space="preserve"> organizations </w:t>
      </w:r>
      <w:r w:rsidR="00C87148">
        <w:t>make</w:t>
      </w:r>
      <w:r w:rsidR="00304BDC">
        <w:t xml:space="preserve"> significant investments in diversity management practices (Richard, </w:t>
      </w:r>
      <w:proofErr w:type="spellStart"/>
      <w:r w:rsidR="00304BDC">
        <w:t>Roh</w:t>
      </w:r>
      <w:proofErr w:type="spellEnd"/>
      <w:r w:rsidR="00304BDC">
        <w:t>, &amp; Pieper, 2013), reports of workplace discrimination are</w:t>
      </w:r>
      <w:r w:rsidR="006C0A53">
        <w:t xml:space="preserve"> still</w:t>
      </w:r>
      <w:r w:rsidR="00304BDC">
        <w:t xml:space="preserve"> </w:t>
      </w:r>
      <w:r w:rsidR="00BE4BB5">
        <w:t>common</w:t>
      </w:r>
      <w:r w:rsidR="00304BDC">
        <w:t xml:space="preserve"> (</w:t>
      </w:r>
      <w:proofErr w:type="spellStart"/>
      <w:r w:rsidR="00304BDC">
        <w:t>Dipboye</w:t>
      </w:r>
      <w:proofErr w:type="spellEnd"/>
      <w:r w:rsidR="00304BDC">
        <w:t xml:space="preserve"> &amp; Colella, 2005; Goldman, Gutek, Stein, &amp; Lewis, 2006)</w:t>
      </w:r>
      <w:r w:rsidR="00616B40">
        <w:t>. In 2016 alone, cases of gender discrimination cost U.S.</w:t>
      </w:r>
      <w:r w:rsidR="00D5344B">
        <w:t xml:space="preserve"> employers in excess of</w:t>
      </w:r>
      <w:r w:rsidR="00F3312C">
        <w:t xml:space="preserve"> $2 billion in monetary awards to victims (EEOC, 2017a, 201</w:t>
      </w:r>
      <w:r w:rsidR="00355C70">
        <w:t>7</w:t>
      </w:r>
      <w:r w:rsidR="00F3312C">
        <w:t>b)</w:t>
      </w:r>
      <w:r w:rsidR="0076609B">
        <w:t>.</w:t>
      </w:r>
      <w:r w:rsidR="00976427">
        <w:t xml:space="preserve"> Similar prevalence of workplace gender discrimination</w:t>
      </w:r>
      <w:r w:rsidR="00F3312C">
        <w:t xml:space="preserve"> </w:t>
      </w:r>
      <w:r w:rsidR="00976427">
        <w:t xml:space="preserve">has been reported in Canada (Beaton, </w:t>
      </w:r>
      <w:proofErr w:type="spellStart"/>
      <w:r w:rsidR="00976427">
        <w:t>Tougas</w:t>
      </w:r>
      <w:proofErr w:type="spellEnd"/>
      <w:r w:rsidR="00976427">
        <w:t xml:space="preserve">, </w:t>
      </w:r>
      <w:proofErr w:type="spellStart"/>
      <w:r w:rsidR="00976427">
        <w:t>Rinfret</w:t>
      </w:r>
      <w:proofErr w:type="spellEnd"/>
      <w:r w:rsidR="00976427">
        <w:t xml:space="preserve">, &amp; Monger, 2014), Norway (Burke &amp; Mikkelsen, 2005), </w:t>
      </w:r>
      <w:r w:rsidR="00EA182C">
        <w:t>Hong Kong</w:t>
      </w:r>
      <w:r w:rsidR="000343CA">
        <w:t xml:space="preserve"> (</w:t>
      </w:r>
      <w:r w:rsidR="00EA182C">
        <w:t xml:space="preserve">Foley, </w:t>
      </w:r>
      <w:r w:rsidR="00EB6529" w:rsidRPr="00805C24">
        <w:t>Hang-Yue</w:t>
      </w:r>
      <w:r w:rsidR="00EA182C">
        <w:t xml:space="preserve">, &amp; </w:t>
      </w:r>
      <w:proofErr w:type="spellStart"/>
      <w:r w:rsidR="00EA182C">
        <w:t>Loi</w:t>
      </w:r>
      <w:proofErr w:type="spellEnd"/>
      <w:r w:rsidR="00EA182C">
        <w:t xml:space="preserve">, 2006), </w:t>
      </w:r>
      <w:r w:rsidR="00131D9E">
        <w:t>France (</w:t>
      </w:r>
      <w:proofErr w:type="spellStart"/>
      <w:r w:rsidR="00131D9E">
        <w:t>Herrbac</w:t>
      </w:r>
      <w:r w:rsidR="00D1473F">
        <w:t>h</w:t>
      </w:r>
      <w:proofErr w:type="spellEnd"/>
      <w:r w:rsidR="00131D9E">
        <w:t xml:space="preserve"> &amp; </w:t>
      </w:r>
      <w:proofErr w:type="spellStart"/>
      <w:r w:rsidR="00131D9E">
        <w:t>Mignonac</w:t>
      </w:r>
      <w:proofErr w:type="spellEnd"/>
      <w:r w:rsidR="00131D9E">
        <w:t xml:space="preserve">, 2012), </w:t>
      </w:r>
      <w:r w:rsidR="00EA182C">
        <w:t>and numerous other countries</w:t>
      </w:r>
      <w:r w:rsidR="004972F2">
        <w:t>.</w:t>
      </w:r>
    </w:p>
    <w:p w14:paraId="75AC7B07" w14:textId="77777777" w:rsidR="00AD59CB" w:rsidRPr="008619B3" w:rsidRDefault="00E43895" w:rsidP="00394D83">
      <w:pPr>
        <w:pStyle w:val="PlainText"/>
        <w:widowControl w:val="0"/>
        <w:spacing w:line="480" w:lineRule="auto"/>
        <w:ind w:firstLine="720"/>
        <w:rPr>
          <w:rFonts w:ascii="Times New Roman" w:hAnsi="Times New Roman"/>
          <w:sz w:val="24"/>
          <w:szCs w:val="24"/>
        </w:rPr>
      </w:pPr>
      <w:r>
        <w:rPr>
          <w:rFonts w:ascii="Times New Roman" w:hAnsi="Times New Roman"/>
          <w:sz w:val="24"/>
          <w:szCs w:val="24"/>
        </w:rPr>
        <w:t>Our</w:t>
      </w:r>
      <w:r w:rsidR="00FD7A59">
        <w:rPr>
          <w:rFonts w:ascii="Times New Roman" w:hAnsi="Times New Roman"/>
          <w:sz w:val="24"/>
          <w:szCs w:val="24"/>
        </w:rPr>
        <w:t xml:space="preserve"> investigation focuses on perceived gender discrimination at work</w:t>
      </w:r>
      <w:r w:rsidR="00BE552B">
        <w:rPr>
          <w:rFonts w:ascii="Times New Roman" w:hAnsi="Times New Roman"/>
          <w:sz w:val="24"/>
          <w:szCs w:val="24"/>
        </w:rPr>
        <w:t xml:space="preserve"> and its employee outcomes</w:t>
      </w:r>
      <w:r w:rsidR="00FD7A59">
        <w:rPr>
          <w:rFonts w:ascii="Times New Roman" w:hAnsi="Times New Roman"/>
          <w:sz w:val="24"/>
          <w:szCs w:val="24"/>
        </w:rPr>
        <w:t xml:space="preserve">. </w:t>
      </w:r>
      <w:r w:rsidR="008619B3">
        <w:rPr>
          <w:rFonts w:ascii="Times New Roman" w:hAnsi="Times New Roman"/>
          <w:sz w:val="24"/>
          <w:szCs w:val="24"/>
        </w:rPr>
        <w:t>T</w:t>
      </w:r>
      <w:r w:rsidR="00AD59CB" w:rsidRPr="008619B3">
        <w:rPr>
          <w:rFonts w:ascii="Times New Roman" w:hAnsi="Times New Roman"/>
          <w:sz w:val="24"/>
          <w:szCs w:val="24"/>
        </w:rPr>
        <w:t xml:space="preserve">he </w:t>
      </w:r>
      <w:r w:rsidR="005E4E1B" w:rsidRPr="008619B3">
        <w:rPr>
          <w:rFonts w:ascii="Times New Roman" w:hAnsi="Times New Roman"/>
          <w:sz w:val="24"/>
          <w:szCs w:val="24"/>
        </w:rPr>
        <w:t xml:space="preserve">consequences of </w:t>
      </w:r>
      <w:r w:rsidR="00BE552B">
        <w:rPr>
          <w:rFonts w:ascii="Times New Roman" w:hAnsi="Times New Roman"/>
          <w:sz w:val="24"/>
          <w:szCs w:val="24"/>
        </w:rPr>
        <w:t>perceived</w:t>
      </w:r>
      <w:r w:rsidR="005E4E1B" w:rsidRPr="008619B3">
        <w:rPr>
          <w:rFonts w:ascii="Times New Roman" w:hAnsi="Times New Roman"/>
          <w:sz w:val="24"/>
          <w:szCs w:val="24"/>
        </w:rPr>
        <w:t xml:space="preserve"> gender</w:t>
      </w:r>
      <w:r w:rsidR="00AD59CB" w:rsidRPr="008619B3">
        <w:rPr>
          <w:rFonts w:ascii="Times New Roman" w:hAnsi="Times New Roman"/>
          <w:sz w:val="24"/>
          <w:szCs w:val="24"/>
        </w:rPr>
        <w:t xml:space="preserve"> discrimination</w:t>
      </w:r>
      <w:r w:rsidR="001D4426">
        <w:rPr>
          <w:rFonts w:ascii="Times New Roman" w:hAnsi="Times New Roman"/>
          <w:sz w:val="24"/>
          <w:szCs w:val="24"/>
        </w:rPr>
        <w:t>, which</w:t>
      </w:r>
      <w:r w:rsidR="005E4E1B" w:rsidRPr="008619B3">
        <w:rPr>
          <w:rFonts w:ascii="Times New Roman" w:hAnsi="Times New Roman"/>
          <w:sz w:val="24"/>
          <w:szCs w:val="24"/>
        </w:rPr>
        <w:t xml:space="preserve"> </w:t>
      </w:r>
      <w:r w:rsidR="00AD59CB" w:rsidRPr="008619B3">
        <w:rPr>
          <w:rFonts w:ascii="Times New Roman" w:hAnsi="Times New Roman"/>
          <w:sz w:val="24"/>
          <w:szCs w:val="24"/>
        </w:rPr>
        <w:t>include stress, job dissatisfaction, and physical symptoms (</w:t>
      </w:r>
      <w:proofErr w:type="spellStart"/>
      <w:r w:rsidR="00AD59CB" w:rsidRPr="008619B3">
        <w:rPr>
          <w:rFonts w:ascii="Times New Roman" w:hAnsi="Times New Roman"/>
          <w:sz w:val="24"/>
          <w:szCs w:val="24"/>
        </w:rPr>
        <w:t>Dipboye</w:t>
      </w:r>
      <w:proofErr w:type="spellEnd"/>
      <w:r w:rsidR="00AD59CB" w:rsidRPr="008619B3">
        <w:rPr>
          <w:rFonts w:ascii="Times New Roman" w:hAnsi="Times New Roman"/>
          <w:sz w:val="24"/>
          <w:szCs w:val="24"/>
        </w:rPr>
        <w:t xml:space="preserve"> &amp; Colella, 2005; Raver &amp; Nishii, 2010)</w:t>
      </w:r>
      <w:r w:rsidR="00616B40">
        <w:rPr>
          <w:rFonts w:ascii="Times New Roman" w:hAnsi="Times New Roman"/>
          <w:sz w:val="24"/>
          <w:szCs w:val="24"/>
        </w:rPr>
        <w:t>,</w:t>
      </w:r>
      <w:r w:rsidR="00D75BAB">
        <w:rPr>
          <w:rFonts w:ascii="Times New Roman" w:hAnsi="Times New Roman"/>
          <w:sz w:val="24"/>
          <w:szCs w:val="24"/>
        </w:rPr>
        <w:t xml:space="preserve"> </w:t>
      </w:r>
      <w:r w:rsidR="008619B3" w:rsidRPr="008619B3">
        <w:rPr>
          <w:rFonts w:ascii="Times New Roman" w:hAnsi="Times New Roman"/>
          <w:sz w:val="24"/>
          <w:szCs w:val="24"/>
        </w:rPr>
        <w:t xml:space="preserve">can </w:t>
      </w:r>
      <w:r w:rsidR="00B523AD">
        <w:rPr>
          <w:rFonts w:ascii="Times New Roman" w:hAnsi="Times New Roman"/>
          <w:sz w:val="24"/>
          <w:szCs w:val="24"/>
        </w:rPr>
        <w:t xml:space="preserve">be </w:t>
      </w:r>
      <w:r w:rsidR="009B033E">
        <w:rPr>
          <w:rFonts w:ascii="Times New Roman" w:hAnsi="Times New Roman"/>
          <w:sz w:val="24"/>
          <w:szCs w:val="24"/>
        </w:rPr>
        <w:lastRenderedPageBreak/>
        <w:t>felt</w:t>
      </w:r>
      <w:r w:rsidR="00B523AD">
        <w:rPr>
          <w:rFonts w:ascii="Times New Roman" w:hAnsi="Times New Roman"/>
          <w:sz w:val="24"/>
          <w:szCs w:val="24"/>
        </w:rPr>
        <w:t xml:space="preserve"> by </w:t>
      </w:r>
      <w:r w:rsidR="00BE552B">
        <w:rPr>
          <w:rFonts w:ascii="Times New Roman" w:hAnsi="Times New Roman"/>
          <w:sz w:val="24"/>
          <w:szCs w:val="24"/>
        </w:rPr>
        <w:t xml:space="preserve">both </w:t>
      </w:r>
      <w:r w:rsidR="008619B3" w:rsidRPr="008619B3">
        <w:rPr>
          <w:rFonts w:ascii="Times New Roman" w:hAnsi="Times New Roman"/>
          <w:sz w:val="24"/>
          <w:szCs w:val="24"/>
        </w:rPr>
        <w:t>wom</w:t>
      </w:r>
      <w:r w:rsidR="00BE552B">
        <w:rPr>
          <w:rFonts w:ascii="Times New Roman" w:hAnsi="Times New Roman"/>
          <w:sz w:val="24"/>
          <w:szCs w:val="24"/>
        </w:rPr>
        <w:t>e</w:t>
      </w:r>
      <w:r w:rsidR="008619B3" w:rsidRPr="008619B3">
        <w:rPr>
          <w:rFonts w:ascii="Times New Roman" w:hAnsi="Times New Roman"/>
          <w:sz w:val="24"/>
          <w:szCs w:val="24"/>
        </w:rPr>
        <w:t xml:space="preserve">n </w:t>
      </w:r>
      <w:r w:rsidR="00BE552B">
        <w:rPr>
          <w:rFonts w:ascii="Times New Roman" w:hAnsi="Times New Roman"/>
          <w:sz w:val="24"/>
          <w:szCs w:val="24"/>
        </w:rPr>
        <w:t>and</w:t>
      </w:r>
      <w:r w:rsidR="008619B3" w:rsidRPr="008619B3">
        <w:rPr>
          <w:rFonts w:ascii="Times New Roman" w:hAnsi="Times New Roman"/>
          <w:sz w:val="24"/>
          <w:szCs w:val="24"/>
        </w:rPr>
        <w:t xml:space="preserve"> m</w:t>
      </w:r>
      <w:r w:rsidR="00BE552B">
        <w:rPr>
          <w:rFonts w:ascii="Times New Roman" w:hAnsi="Times New Roman"/>
          <w:sz w:val="24"/>
          <w:szCs w:val="24"/>
        </w:rPr>
        <w:t>e</w:t>
      </w:r>
      <w:r w:rsidR="008619B3" w:rsidRPr="008619B3">
        <w:rPr>
          <w:rFonts w:ascii="Times New Roman" w:hAnsi="Times New Roman"/>
          <w:sz w:val="24"/>
          <w:szCs w:val="24"/>
        </w:rPr>
        <w:t xml:space="preserve">n. </w:t>
      </w:r>
      <w:r w:rsidR="004972F2">
        <w:rPr>
          <w:rFonts w:ascii="Times New Roman" w:hAnsi="Times New Roman"/>
          <w:sz w:val="24"/>
          <w:szCs w:val="24"/>
        </w:rPr>
        <w:t>I</w:t>
      </w:r>
      <w:r w:rsidR="00970D1E">
        <w:rPr>
          <w:rFonts w:ascii="Times New Roman" w:hAnsi="Times New Roman"/>
          <w:sz w:val="24"/>
          <w:szCs w:val="24"/>
        </w:rPr>
        <w:t>n both a U.S.-based study</w:t>
      </w:r>
      <w:r w:rsidR="00970D1E" w:rsidRPr="008619B3">
        <w:rPr>
          <w:rFonts w:ascii="Times New Roman" w:hAnsi="Times New Roman"/>
          <w:sz w:val="24"/>
          <w:szCs w:val="24"/>
        </w:rPr>
        <w:t xml:space="preserve"> </w:t>
      </w:r>
      <w:r w:rsidR="00970D1E">
        <w:rPr>
          <w:rFonts w:ascii="Times New Roman" w:hAnsi="Times New Roman"/>
          <w:sz w:val="24"/>
          <w:szCs w:val="24"/>
        </w:rPr>
        <w:t xml:space="preserve">by </w:t>
      </w:r>
      <w:proofErr w:type="spellStart"/>
      <w:r w:rsidR="008619B3" w:rsidRPr="008619B3">
        <w:rPr>
          <w:rFonts w:ascii="Times New Roman" w:hAnsi="Times New Roman"/>
          <w:sz w:val="24"/>
          <w:szCs w:val="24"/>
        </w:rPr>
        <w:t>Kobrynowicz</w:t>
      </w:r>
      <w:proofErr w:type="spellEnd"/>
      <w:r w:rsidR="008619B3" w:rsidRPr="008619B3">
        <w:rPr>
          <w:rFonts w:ascii="Times New Roman" w:hAnsi="Times New Roman"/>
          <w:sz w:val="24"/>
          <w:szCs w:val="24"/>
        </w:rPr>
        <w:t xml:space="preserve"> and </w:t>
      </w:r>
      <w:proofErr w:type="spellStart"/>
      <w:r w:rsidR="008619B3" w:rsidRPr="008619B3">
        <w:rPr>
          <w:rFonts w:ascii="Times New Roman" w:hAnsi="Times New Roman"/>
          <w:sz w:val="24"/>
          <w:szCs w:val="24"/>
        </w:rPr>
        <w:t>Branscombe</w:t>
      </w:r>
      <w:proofErr w:type="spellEnd"/>
      <w:r w:rsidR="008619B3" w:rsidRPr="008619B3">
        <w:rPr>
          <w:rFonts w:ascii="Times New Roman" w:hAnsi="Times New Roman"/>
          <w:sz w:val="24"/>
          <w:szCs w:val="24"/>
        </w:rPr>
        <w:t xml:space="preserve"> (1997)</w:t>
      </w:r>
      <w:r w:rsidR="00D75BAB">
        <w:rPr>
          <w:rFonts w:ascii="Times New Roman" w:hAnsi="Times New Roman"/>
          <w:sz w:val="24"/>
          <w:szCs w:val="24"/>
        </w:rPr>
        <w:t xml:space="preserve"> and </w:t>
      </w:r>
      <w:r w:rsidR="00970D1E">
        <w:rPr>
          <w:rFonts w:ascii="Times New Roman" w:hAnsi="Times New Roman"/>
          <w:sz w:val="24"/>
          <w:szCs w:val="24"/>
        </w:rPr>
        <w:t xml:space="preserve">a South Africa-based study conducted by </w:t>
      </w:r>
      <w:r w:rsidR="00D75BAB">
        <w:rPr>
          <w:rFonts w:ascii="Times New Roman" w:hAnsi="Times New Roman"/>
          <w:sz w:val="24"/>
          <w:szCs w:val="24"/>
        </w:rPr>
        <w:t>Bowen</w:t>
      </w:r>
      <w:r w:rsidR="00FB38E3" w:rsidRPr="00FB38E3">
        <w:rPr>
          <w:rFonts w:ascii="Times New Roman" w:hAnsi="Times New Roman"/>
          <w:sz w:val="24"/>
          <w:szCs w:val="24"/>
        </w:rPr>
        <w:t>, Edwards,</w:t>
      </w:r>
      <w:r w:rsidR="00FB38E3">
        <w:rPr>
          <w:rFonts w:ascii="Times New Roman" w:hAnsi="Times New Roman"/>
          <w:sz w:val="24"/>
          <w:szCs w:val="24"/>
        </w:rPr>
        <w:t xml:space="preserve"> and</w:t>
      </w:r>
      <w:r w:rsidR="00FB38E3" w:rsidRPr="00FB38E3">
        <w:rPr>
          <w:rFonts w:ascii="Times New Roman" w:hAnsi="Times New Roman"/>
          <w:sz w:val="24"/>
          <w:szCs w:val="24"/>
        </w:rPr>
        <w:t xml:space="preserve"> Lingard</w:t>
      </w:r>
      <w:r w:rsidR="00D75BAB">
        <w:rPr>
          <w:rFonts w:ascii="Times New Roman" w:hAnsi="Times New Roman"/>
          <w:sz w:val="24"/>
          <w:szCs w:val="24"/>
        </w:rPr>
        <w:t xml:space="preserve"> (2013), </w:t>
      </w:r>
      <w:r w:rsidR="00970D1E">
        <w:rPr>
          <w:rFonts w:ascii="Times New Roman" w:hAnsi="Times New Roman"/>
          <w:sz w:val="24"/>
          <w:szCs w:val="24"/>
        </w:rPr>
        <w:t xml:space="preserve">the authors </w:t>
      </w:r>
      <w:r w:rsidR="008619B3" w:rsidRPr="008619B3">
        <w:rPr>
          <w:rFonts w:ascii="Times New Roman" w:hAnsi="Times New Roman"/>
          <w:sz w:val="24"/>
          <w:szCs w:val="24"/>
        </w:rPr>
        <w:t>note an increase in the frequency of</w:t>
      </w:r>
      <w:r w:rsidR="009B033E">
        <w:rPr>
          <w:rFonts w:ascii="Times New Roman" w:hAnsi="Times New Roman"/>
          <w:sz w:val="24"/>
          <w:szCs w:val="24"/>
        </w:rPr>
        <w:t xml:space="preserve"> perceived</w:t>
      </w:r>
      <w:r w:rsidR="008619B3" w:rsidRPr="008619B3">
        <w:rPr>
          <w:rFonts w:ascii="Times New Roman" w:hAnsi="Times New Roman"/>
          <w:sz w:val="24"/>
          <w:szCs w:val="24"/>
        </w:rPr>
        <w:t xml:space="preserve"> gender discrimination experienced by White men</w:t>
      </w:r>
      <w:r w:rsidR="00D75BAB">
        <w:rPr>
          <w:rFonts w:ascii="Times New Roman" w:hAnsi="Times New Roman"/>
          <w:sz w:val="24"/>
          <w:szCs w:val="24"/>
        </w:rPr>
        <w:t>.</w:t>
      </w:r>
      <w:r w:rsidR="009B033E">
        <w:rPr>
          <w:rFonts w:ascii="Times New Roman" w:hAnsi="Times New Roman"/>
          <w:sz w:val="24"/>
          <w:szCs w:val="24"/>
        </w:rPr>
        <w:t xml:space="preserve"> </w:t>
      </w:r>
      <w:r w:rsidR="00D75BAB">
        <w:rPr>
          <w:rFonts w:ascii="Times New Roman" w:hAnsi="Times New Roman"/>
          <w:sz w:val="24"/>
          <w:szCs w:val="24"/>
        </w:rPr>
        <w:t>S</w:t>
      </w:r>
      <w:r w:rsidR="008619B3" w:rsidRPr="008619B3">
        <w:rPr>
          <w:rFonts w:ascii="Times New Roman" w:hAnsi="Times New Roman"/>
          <w:sz w:val="24"/>
          <w:szCs w:val="24"/>
        </w:rPr>
        <w:t xml:space="preserve">everal cases of gender discrimination </w:t>
      </w:r>
      <w:r w:rsidR="00091B51" w:rsidRPr="008619B3">
        <w:rPr>
          <w:rFonts w:ascii="Times New Roman" w:hAnsi="Times New Roman"/>
          <w:sz w:val="24"/>
          <w:szCs w:val="24"/>
        </w:rPr>
        <w:t xml:space="preserve">in hiring </w:t>
      </w:r>
      <w:r w:rsidR="008619B3" w:rsidRPr="008619B3">
        <w:rPr>
          <w:rFonts w:ascii="Times New Roman" w:hAnsi="Times New Roman"/>
          <w:sz w:val="24"/>
          <w:szCs w:val="24"/>
        </w:rPr>
        <w:t>against men have been reported in the U</w:t>
      </w:r>
      <w:r w:rsidR="00BE4BB5">
        <w:rPr>
          <w:rFonts w:ascii="Times New Roman" w:hAnsi="Times New Roman"/>
          <w:sz w:val="24"/>
          <w:szCs w:val="24"/>
        </w:rPr>
        <w:t>.</w:t>
      </w:r>
      <w:r w:rsidR="008619B3" w:rsidRPr="008619B3">
        <w:rPr>
          <w:rFonts w:ascii="Times New Roman" w:hAnsi="Times New Roman"/>
          <w:sz w:val="24"/>
          <w:szCs w:val="24"/>
        </w:rPr>
        <w:t>S</w:t>
      </w:r>
      <w:r w:rsidR="00BE4BB5">
        <w:rPr>
          <w:rFonts w:ascii="Times New Roman" w:hAnsi="Times New Roman"/>
          <w:sz w:val="24"/>
          <w:szCs w:val="24"/>
        </w:rPr>
        <w:t>.</w:t>
      </w:r>
      <w:r w:rsidR="008619B3" w:rsidRPr="008619B3">
        <w:rPr>
          <w:rFonts w:ascii="Times New Roman" w:hAnsi="Times New Roman"/>
          <w:sz w:val="24"/>
          <w:szCs w:val="24"/>
        </w:rPr>
        <w:t xml:space="preserve"> (Edwards, 2015</w:t>
      </w:r>
      <w:r w:rsidR="00616B40">
        <w:rPr>
          <w:rFonts w:ascii="Times New Roman" w:hAnsi="Times New Roman"/>
          <w:sz w:val="24"/>
          <w:szCs w:val="24"/>
        </w:rPr>
        <w:t xml:space="preserve">; </w:t>
      </w:r>
      <w:r w:rsidR="008619B3" w:rsidRPr="008619B3">
        <w:rPr>
          <w:rFonts w:ascii="Times New Roman" w:hAnsi="Times New Roman"/>
          <w:sz w:val="24"/>
          <w:szCs w:val="24"/>
        </w:rPr>
        <w:t>Pierson,</w:t>
      </w:r>
      <w:r w:rsidR="00403F84">
        <w:rPr>
          <w:rFonts w:ascii="Times New Roman" w:hAnsi="Times New Roman"/>
          <w:sz w:val="24"/>
          <w:szCs w:val="24"/>
        </w:rPr>
        <w:t xml:space="preserve"> </w:t>
      </w:r>
      <w:r w:rsidR="008619B3" w:rsidRPr="008619B3">
        <w:rPr>
          <w:rFonts w:ascii="Times New Roman" w:hAnsi="Times New Roman"/>
          <w:sz w:val="24"/>
          <w:szCs w:val="24"/>
        </w:rPr>
        <w:t>2007)</w:t>
      </w:r>
      <w:r w:rsidR="00091B51">
        <w:rPr>
          <w:rFonts w:ascii="Times New Roman" w:hAnsi="Times New Roman"/>
          <w:sz w:val="24"/>
          <w:szCs w:val="24"/>
        </w:rPr>
        <w:t xml:space="preserve"> and</w:t>
      </w:r>
      <w:r w:rsidR="008619B3" w:rsidRPr="008619B3">
        <w:rPr>
          <w:rFonts w:ascii="Times New Roman" w:hAnsi="Times New Roman"/>
          <w:sz w:val="24"/>
          <w:szCs w:val="24"/>
        </w:rPr>
        <w:t xml:space="preserve"> internationally (Dixon, 2014). </w:t>
      </w:r>
      <w:r w:rsidR="00091B51" w:rsidRPr="008619B3">
        <w:rPr>
          <w:rFonts w:ascii="Times New Roman" w:hAnsi="Times New Roman"/>
          <w:sz w:val="24"/>
          <w:szCs w:val="24"/>
        </w:rPr>
        <w:t>Th</w:t>
      </w:r>
      <w:r w:rsidR="00091B51">
        <w:rPr>
          <w:rFonts w:ascii="Times New Roman" w:hAnsi="Times New Roman"/>
          <w:sz w:val="24"/>
          <w:szCs w:val="24"/>
        </w:rPr>
        <w:t>us</w:t>
      </w:r>
      <w:r w:rsidR="00381520" w:rsidRPr="008619B3">
        <w:rPr>
          <w:rFonts w:ascii="Times New Roman" w:hAnsi="Times New Roman"/>
          <w:sz w:val="24"/>
          <w:szCs w:val="24"/>
        </w:rPr>
        <w:t>, u</w:t>
      </w:r>
      <w:r w:rsidR="00AD59CB" w:rsidRPr="008619B3">
        <w:rPr>
          <w:rFonts w:ascii="Times New Roman" w:hAnsi="Times New Roman"/>
          <w:sz w:val="24"/>
          <w:szCs w:val="24"/>
        </w:rPr>
        <w:t xml:space="preserve">nderstanding the outcomes of perceived workplace </w:t>
      </w:r>
      <w:r w:rsidR="008D1B77" w:rsidRPr="008619B3">
        <w:rPr>
          <w:rFonts w:ascii="Times New Roman" w:hAnsi="Times New Roman"/>
          <w:sz w:val="24"/>
          <w:szCs w:val="24"/>
        </w:rPr>
        <w:t>gender</w:t>
      </w:r>
      <w:r w:rsidR="00AD59CB" w:rsidRPr="008619B3">
        <w:rPr>
          <w:rFonts w:ascii="Times New Roman" w:hAnsi="Times New Roman"/>
          <w:sz w:val="24"/>
          <w:szCs w:val="24"/>
        </w:rPr>
        <w:t xml:space="preserve"> discrimination is </w:t>
      </w:r>
      <w:r w:rsidR="00223B28" w:rsidRPr="008619B3">
        <w:rPr>
          <w:rFonts w:ascii="Times New Roman" w:hAnsi="Times New Roman"/>
          <w:sz w:val="24"/>
          <w:szCs w:val="24"/>
        </w:rPr>
        <w:t>important</w:t>
      </w:r>
      <w:r w:rsidR="008D1B77" w:rsidRPr="008619B3">
        <w:rPr>
          <w:rFonts w:ascii="Times New Roman" w:hAnsi="Times New Roman"/>
          <w:sz w:val="24"/>
          <w:szCs w:val="24"/>
        </w:rPr>
        <w:t xml:space="preserve"> to </w:t>
      </w:r>
      <w:r w:rsidR="009B033E">
        <w:rPr>
          <w:rFonts w:ascii="Times New Roman" w:hAnsi="Times New Roman"/>
          <w:sz w:val="24"/>
          <w:szCs w:val="24"/>
        </w:rPr>
        <w:t xml:space="preserve">all </w:t>
      </w:r>
      <w:r w:rsidR="00AD59CB" w:rsidRPr="008619B3">
        <w:rPr>
          <w:rFonts w:ascii="Times New Roman" w:hAnsi="Times New Roman"/>
          <w:sz w:val="24"/>
          <w:szCs w:val="24"/>
        </w:rPr>
        <w:t>employees</w:t>
      </w:r>
      <w:r w:rsidR="009B033E">
        <w:rPr>
          <w:rFonts w:ascii="Times New Roman" w:hAnsi="Times New Roman"/>
          <w:sz w:val="24"/>
          <w:szCs w:val="24"/>
        </w:rPr>
        <w:t xml:space="preserve"> </w:t>
      </w:r>
      <w:r w:rsidR="000F4CBA">
        <w:rPr>
          <w:rFonts w:ascii="Times New Roman" w:hAnsi="Times New Roman"/>
          <w:sz w:val="24"/>
          <w:szCs w:val="24"/>
        </w:rPr>
        <w:t>(</w:t>
      </w:r>
      <w:r w:rsidR="009B033E">
        <w:rPr>
          <w:rFonts w:ascii="Times New Roman" w:hAnsi="Times New Roman"/>
          <w:sz w:val="24"/>
          <w:szCs w:val="24"/>
        </w:rPr>
        <w:t>not just to women</w:t>
      </w:r>
      <w:r w:rsidR="000F4CBA">
        <w:rPr>
          <w:rFonts w:ascii="Times New Roman" w:hAnsi="Times New Roman"/>
          <w:sz w:val="24"/>
          <w:szCs w:val="24"/>
        </w:rPr>
        <w:t>)</w:t>
      </w:r>
      <w:r w:rsidR="00AD59CB" w:rsidRPr="008619B3">
        <w:rPr>
          <w:rFonts w:ascii="Times New Roman" w:hAnsi="Times New Roman"/>
          <w:sz w:val="24"/>
          <w:szCs w:val="24"/>
        </w:rPr>
        <w:t xml:space="preserve"> and </w:t>
      </w:r>
      <w:r w:rsidR="00976F2B">
        <w:rPr>
          <w:rFonts w:ascii="Times New Roman" w:hAnsi="Times New Roman"/>
          <w:sz w:val="24"/>
          <w:szCs w:val="24"/>
        </w:rPr>
        <w:t xml:space="preserve">to </w:t>
      </w:r>
      <w:r>
        <w:rPr>
          <w:rFonts w:ascii="Times New Roman" w:hAnsi="Times New Roman"/>
          <w:sz w:val="24"/>
          <w:szCs w:val="24"/>
        </w:rPr>
        <w:t xml:space="preserve">global </w:t>
      </w:r>
      <w:r w:rsidR="00AD59CB" w:rsidRPr="008619B3">
        <w:rPr>
          <w:rFonts w:ascii="Times New Roman" w:hAnsi="Times New Roman"/>
          <w:sz w:val="24"/>
          <w:szCs w:val="24"/>
        </w:rPr>
        <w:t>employers</w:t>
      </w:r>
      <w:r w:rsidR="008D1B77" w:rsidRPr="008619B3">
        <w:rPr>
          <w:rFonts w:ascii="Times New Roman" w:hAnsi="Times New Roman"/>
          <w:sz w:val="24"/>
          <w:szCs w:val="24"/>
        </w:rPr>
        <w:t xml:space="preserve"> </w:t>
      </w:r>
      <w:r w:rsidR="00AD59CB" w:rsidRPr="008619B3">
        <w:rPr>
          <w:rFonts w:ascii="Times New Roman" w:hAnsi="Times New Roman"/>
          <w:sz w:val="24"/>
          <w:szCs w:val="24"/>
        </w:rPr>
        <w:t>(</w:t>
      </w:r>
      <w:proofErr w:type="spellStart"/>
      <w:r w:rsidR="00AD59CB" w:rsidRPr="008619B3">
        <w:rPr>
          <w:rFonts w:ascii="Times New Roman" w:hAnsi="Times New Roman"/>
          <w:sz w:val="24"/>
          <w:szCs w:val="24"/>
        </w:rPr>
        <w:t>Dipboye</w:t>
      </w:r>
      <w:proofErr w:type="spellEnd"/>
      <w:r w:rsidR="00AD59CB" w:rsidRPr="008619B3">
        <w:rPr>
          <w:rFonts w:ascii="Times New Roman" w:hAnsi="Times New Roman"/>
          <w:sz w:val="24"/>
          <w:szCs w:val="24"/>
        </w:rPr>
        <w:t xml:space="preserve"> &amp; Colella, 2005; Goldman et al., 2006). </w:t>
      </w:r>
    </w:p>
    <w:p w14:paraId="74F8A8A3" w14:textId="77777777" w:rsidR="00E70717" w:rsidRDefault="00E43895" w:rsidP="00394D83">
      <w:pPr>
        <w:widowControl w:val="0"/>
        <w:suppressAutoHyphens w:val="0"/>
        <w:spacing w:line="480" w:lineRule="auto"/>
        <w:ind w:firstLine="720"/>
      </w:pPr>
      <w:r>
        <w:t xml:space="preserve">We conduct a meta-analysis along with two complementary empirical studies on the effects of perceived gender discrimination. </w:t>
      </w:r>
      <w:r w:rsidR="004E2306">
        <w:t>To explain the relationship between perceived gender discrimination at work and several employee outcomes, we</w:t>
      </w:r>
      <w:r w:rsidR="00AD59CB">
        <w:t xml:space="preserve"> </w:t>
      </w:r>
      <w:r w:rsidR="00430BA5">
        <w:t>draw on</w:t>
      </w:r>
      <w:r w:rsidR="000E5207">
        <w:t xml:space="preserve"> relative deprivation theory (Crosby, 1976, 1984), which </w:t>
      </w:r>
      <w:r w:rsidR="000A4DF6">
        <w:t xml:space="preserve">states </w:t>
      </w:r>
      <w:r w:rsidR="000E5207">
        <w:t xml:space="preserve">that employees’ </w:t>
      </w:r>
      <w:r w:rsidR="00A104F0">
        <w:t xml:space="preserve">perceptions of being </w:t>
      </w:r>
      <w:r w:rsidR="000E5207">
        <w:t xml:space="preserve">deprived </w:t>
      </w:r>
      <w:r w:rsidR="00A104F0">
        <w:t xml:space="preserve">of a desired outcome </w:t>
      </w:r>
      <w:r w:rsidR="000B0771">
        <w:t xml:space="preserve">are </w:t>
      </w:r>
      <w:r w:rsidR="00A104F0">
        <w:t>anchored to some standard of reference</w:t>
      </w:r>
      <w:r w:rsidR="00AD59CB">
        <w:t xml:space="preserve">. </w:t>
      </w:r>
      <w:r w:rsidR="00882672">
        <w:t>Based on</w:t>
      </w:r>
      <w:r w:rsidR="000B373A">
        <w:t xml:space="preserve"> </w:t>
      </w:r>
      <w:r w:rsidR="0097611A">
        <w:t>85</w:t>
      </w:r>
      <w:r w:rsidR="00276D00">
        <w:t xml:space="preserve"> </w:t>
      </w:r>
      <w:r w:rsidR="00161184">
        <w:t>correlations</w:t>
      </w:r>
      <w:r w:rsidR="00AD59CB">
        <w:t xml:space="preserve"> from published and unpublished studies </w:t>
      </w:r>
      <w:r w:rsidR="00FE7FF1">
        <w:t>between 1979 and 201</w:t>
      </w:r>
      <w:r w:rsidR="00FB4C5D">
        <w:t>7</w:t>
      </w:r>
      <w:r w:rsidR="00FE7FF1">
        <w:t xml:space="preserve"> </w:t>
      </w:r>
      <w:r w:rsidR="00500D2C">
        <w:t xml:space="preserve">and </w:t>
      </w:r>
      <w:r w:rsidR="00417566">
        <w:t xml:space="preserve">across </w:t>
      </w:r>
      <w:r w:rsidR="004309C6">
        <w:t>ten</w:t>
      </w:r>
      <w:r w:rsidR="00417566">
        <w:t xml:space="preserve"> countries</w:t>
      </w:r>
      <w:r w:rsidR="00882672">
        <w:t>, our meta-analysis</w:t>
      </w:r>
      <w:r w:rsidR="00AD59CB">
        <w:t xml:space="preserve"> examine</w:t>
      </w:r>
      <w:r w:rsidR="00882672">
        <w:t>s</w:t>
      </w:r>
      <w:r w:rsidR="00AD59CB">
        <w:t xml:space="preserve"> the </w:t>
      </w:r>
      <w:r w:rsidR="00AF6E6B">
        <w:t xml:space="preserve">extent to which </w:t>
      </w:r>
      <w:r w:rsidR="00AD59CB">
        <w:t xml:space="preserve">perceived </w:t>
      </w:r>
      <w:r w:rsidR="00AF6E6B">
        <w:t>workplace gender</w:t>
      </w:r>
      <w:r w:rsidR="00AD59CB">
        <w:t xml:space="preserve"> discrimination </w:t>
      </w:r>
      <w:r w:rsidR="00AF6E6B">
        <w:t>relates to</w:t>
      </w:r>
      <w:r w:rsidR="00AD59CB">
        <w:t xml:space="preserve"> job attitudes, physical health</w:t>
      </w:r>
      <w:r w:rsidR="005E0699">
        <w:t xml:space="preserve"> outcomes and behaviors</w:t>
      </w:r>
      <w:r w:rsidR="00AD59CB">
        <w:t xml:space="preserve">, psychological health, and </w:t>
      </w:r>
      <w:r w:rsidR="00146216">
        <w:t>job-</w:t>
      </w:r>
      <w:r w:rsidR="00052DAB">
        <w:t xml:space="preserve"> </w:t>
      </w:r>
      <w:r w:rsidR="00146216">
        <w:t>and relationship-based</w:t>
      </w:r>
      <w:r w:rsidR="00052DAB">
        <w:t xml:space="preserve"> work-related outcomes</w:t>
      </w:r>
      <w:r w:rsidR="00AD59CB">
        <w:t xml:space="preserve">. </w:t>
      </w:r>
      <w:r w:rsidR="000F4CBA">
        <w:t>We also present a</w:t>
      </w:r>
      <w:r w:rsidR="00052DAB">
        <w:t xml:space="preserve"> </w:t>
      </w:r>
      <w:r w:rsidR="00DF0041">
        <w:t>survey</w:t>
      </w:r>
      <w:r w:rsidR="000F4CBA">
        <w:t xml:space="preserve"> of 6</w:t>
      </w:r>
      <w:r w:rsidR="008B72A3">
        <w:t>39</w:t>
      </w:r>
      <w:r w:rsidR="000F4CBA">
        <w:t xml:space="preserve"> </w:t>
      </w:r>
      <w:r w:rsidR="00DF0041">
        <w:t>employee</w:t>
      </w:r>
      <w:r w:rsidR="000F4CBA">
        <w:t>s from five countries</w:t>
      </w:r>
      <w:r w:rsidR="008C571D">
        <w:t xml:space="preserve"> and an experiment with 105 participants</w:t>
      </w:r>
      <w:r w:rsidR="000F4CBA">
        <w:t xml:space="preserve"> </w:t>
      </w:r>
      <w:r w:rsidR="003E42E5">
        <w:t>to test</w:t>
      </w:r>
      <w:r w:rsidR="00417566">
        <w:t xml:space="preserve"> </w:t>
      </w:r>
      <w:r w:rsidR="00FE7FF1">
        <w:t xml:space="preserve">the </w:t>
      </w:r>
      <w:r w:rsidR="00417566">
        <w:t xml:space="preserve">relative deprivation </w:t>
      </w:r>
      <w:r w:rsidR="00335774">
        <w:t>mechanism</w:t>
      </w:r>
      <w:r w:rsidR="00417566">
        <w:t xml:space="preserve"> </w:t>
      </w:r>
      <w:r w:rsidR="00FE7FF1">
        <w:t>central to our theor</w:t>
      </w:r>
      <w:r w:rsidR="00091B51">
        <w:t>y</w:t>
      </w:r>
      <w:r w:rsidR="00FE7FF1">
        <w:t>.</w:t>
      </w:r>
      <w:r w:rsidR="00335774" w:rsidDel="00335774">
        <w:t xml:space="preserve"> </w:t>
      </w:r>
    </w:p>
    <w:p w14:paraId="026A610A" w14:textId="77777777" w:rsidR="008F6741" w:rsidRDefault="00417566" w:rsidP="00394D83">
      <w:pPr>
        <w:widowControl w:val="0"/>
        <w:suppressAutoHyphens w:val="0"/>
        <w:spacing w:line="480" w:lineRule="auto"/>
        <w:ind w:firstLine="720"/>
      </w:pPr>
      <w:r>
        <w:t xml:space="preserve">Preventing </w:t>
      </w:r>
      <w:r w:rsidR="005046A7">
        <w:t>perceived</w:t>
      </w:r>
      <w:r>
        <w:t xml:space="preserve"> gender discrimination and mitigating its negative </w:t>
      </w:r>
      <w:r w:rsidR="00335774">
        <w:t>effect</w:t>
      </w:r>
      <w:r w:rsidR="002C04F3">
        <w:t>s</w:t>
      </w:r>
      <w:r>
        <w:t xml:space="preserve"> requires an understanding of how </w:t>
      </w:r>
      <w:r w:rsidR="00A04B53">
        <w:t xml:space="preserve">these effects might vary across different contexts, although such considerations are limited in prior research. </w:t>
      </w:r>
      <w:r w:rsidR="00614533">
        <w:t>Relative deprivation theory suggests that the broader societal context may affect employees’ threshold for feeling deprived of equal treatment (Crosby, 1976, 1984).</w:t>
      </w:r>
      <w:r>
        <w:t xml:space="preserve"> </w:t>
      </w:r>
      <w:r w:rsidR="00A04B53">
        <w:t xml:space="preserve">We argue that if the threshold for perceiving gender discrimination varies across societal contexts, the magnitude of the impact of perceived discrimination will also vary </w:t>
      </w:r>
      <w:r w:rsidR="00EC1CA1">
        <w:lastRenderedPageBreak/>
        <w:t>contextually</w:t>
      </w:r>
      <w:r w:rsidR="00A04B53">
        <w:t>. Scholars have previously suspected</w:t>
      </w:r>
      <w:r w:rsidR="005046A7">
        <w:t xml:space="preserve"> that</w:t>
      </w:r>
      <w:r w:rsidR="007057BF">
        <w:t xml:space="preserve"> </w:t>
      </w:r>
      <w:r w:rsidR="001D4426">
        <w:t>features of the national context, including national cultural values in Hong Kong and China (Hang-</w:t>
      </w:r>
      <w:proofErr w:type="spellStart"/>
      <w:r w:rsidR="001D4426">
        <w:t>yue</w:t>
      </w:r>
      <w:proofErr w:type="spellEnd"/>
      <w:r w:rsidR="001D4426">
        <w:t xml:space="preserve">, Foley, &amp; </w:t>
      </w:r>
      <w:proofErr w:type="spellStart"/>
      <w:r w:rsidR="001D4426">
        <w:t>Loi</w:t>
      </w:r>
      <w:proofErr w:type="spellEnd"/>
      <w:r w:rsidR="001D4426">
        <w:t xml:space="preserve">, 2006; Peng, Ngo, Shi &amp; Wong, 2009) and labor and economic empowerment policies in South Africa and Canada (Bowen </w:t>
      </w:r>
      <w:r w:rsidR="008B72A3">
        <w:t>et al.,</w:t>
      </w:r>
      <w:r w:rsidR="001D4426">
        <w:t xml:space="preserve"> 2013; Beaton &amp; </w:t>
      </w:r>
      <w:proofErr w:type="spellStart"/>
      <w:r w:rsidR="001D4426">
        <w:t>Tougas</w:t>
      </w:r>
      <w:proofErr w:type="spellEnd"/>
      <w:r w:rsidR="001D4426">
        <w:t>, 1997)</w:t>
      </w:r>
      <w:r w:rsidR="00DF0041">
        <w:t>,</w:t>
      </w:r>
      <w:r w:rsidR="00A04B53">
        <w:t xml:space="preserve"> may influence the extent to which gender discrimination affects employees</w:t>
      </w:r>
      <w:r w:rsidR="001D4426">
        <w:t xml:space="preserve">. </w:t>
      </w:r>
      <w:r w:rsidR="000B373A">
        <w:t>We</w:t>
      </w:r>
      <w:r w:rsidR="0047590D">
        <w:t xml:space="preserve"> </w:t>
      </w:r>
      <w:r w:rsidR="00865203">
        <w:t xml:space="preserve">extend </w:t>
      </w:r>
      <w:r w:rsidR="00752E11">
        <w:t xml:space="preserve">the </w:t>
      </w:r>
      <w:r w:rsidR="00C5090B">
        <w:t xml:space="preserve">relative deprivation </w:t>
      </w:r>
      <w:r w:rsidR="00752E11">
        <w:t xml:space="preserve">framework </w:t>
      </w:r>
      <w:r w:rsidR="00865203">
        <w:t>to</w:t>
      </w:r>
      <w:r w:rsidR="0047590D">
        <w:t xml:space="preserve"> consider the influence of national differences in </w:t>
      </w:r>
      <w:r w:rsidR="00332C8A">
        <w:t xml:space="preserve">labor </w:t>
      </w:r>
      <w:r w:rsidR="00A351B1">
        <w:t xml:space="preserve">laws </w:t>
      </w:r>
      <w:r w:rsidR="00332C8A">
        <w:t xml:space="preserve">and </w:t>
      </w:r>
      <w:r w:rsidR="0047590D">
        <w:t>cultural</w:t>
      </w:r>
      <w:r w:rsidR="006957FC">
        <w:t xml:space="preserve"> </w:t>
      </w:r>
      <w:r w:rsidR="00BE0A2F">
        <w:t>norms</w:t>
      </w:r>
      <w:r w:rsidR="0047590D">
        <w:t xml:space="preserve"> on the strength of the relationship between perceived workplace gender discrimination and employee </w:t>
      </w:r>
      <w:r w:rsidR="00332C8A">
        <w:t>outcomes</w:t>
      </w:r>
      <w:r w:rsidR="0047590D">
        <w:t xml:space="preserve">. </w:t>
      </w:r>
    </w:p>
    <w:p w14:paraId="46197ECB" w14:textId="4253654E" w:rsidR="00AF6E6B" w:rsidRDefault="00452202" w:rsidP="00394D83">
      <w:pPr>
        <w:widowControl w:val="0"/>
        <w:suppressAutoHyphens w:val="0"/>
        <w:spacing w:line="480" w:lineRule="auto"/>
        <w:ind w:firstLine="720"/>
      </w:pPr>
      <w:r w:rsidRPr="00452202">
        <w:t>We first utilize the Women’s Economic Opportunity Index (Economist Intelligence Unit, 2012) to study variation between countries in the extent to which gender equality is integrated broadly in labor policies and enforced stringently in labor practices.</w:t>
      </w:r>
      <w:r>
        <w:t xml:space="preserve"> </w:t>
      </w:r>
      <w:r w:rsidR="001A5D41">
        <w:t>Second, we investigate the influence of g</w:t>
      </w:r>
      <w:r w:rsidR="0041615D">
        <w:t>ender egalitarianism</w:t>
      </w:r>
      <w:r w:rsidR="001A5D41">
        <w:t xml:space="preserve">, </w:t>
      </w:r>
      <w:r w:rsidR="0041615D">
        <w:t xml:space="preserve">a dimension </w:t>
      </w:r>
      <w:r w:rsidR="001B4595">
        <w:t xml:space="preserve">of national culture </w:t>
      </w:r>
      <w:r w:rsidR="00C87148">
        <w:t>as</w:t>
      </w:r>
      <w:r w:rsidR="001B4595">
        <w:t xml:space="preserve"> measured in the Global Leadership and Organizational Behavior Effectiveness (GLOBE) study </w:t>
      </w:r>
      <w:r w:rsidR="001B4595" w:rsidRPr="00883A9D">
        <w:t>(House</w:t>
      </w:r>
      <w:r w:rsidR="001B4595" w:rsidRPr="00805C24">
        <w:rPr>
          <w:rFonts w:eastAsiaTheme="minorHAnsi"/>
        </w:rPr>
        <w:t xml:space="preserve">, </w:t>
      </w:r>
      <w:proofErr w:type="spellStart"/>
      <w:r w:rsidR="001B4595" w:rsidRPr="00805C24">
        <w:rPr>
          <w:rFonts w:eastAsiaTheme="minorHAnsi"/>
        </w:rPr>
        <w:t>Hanges</w:t>
      </w:r>
      <w:proofErr w:type="spellEnd"/>
      <w:r w:rsidR="001B4595" w:rsidRPr="00805C24">
        <w:rPr>
          <w:rFonts w:eastAsiaTheme="minorHAnsi"/>
        </w:rPr>
        <w:t xml:space="preserve">, </w:t>
      </w:r>
      <w:proofErr w:type="spellStart"/>
      <w:r w:rsidR="001B4595" w:rsidRPr="00805C24">
        <w:rPr>
          <w:rFonts w:eastAsiaTheme="minorHAnsi"/>
        </w:rPr>
        <w:t>Javidan</w:t>
      </w:r>
      <w:proofErr w:type="spellEnd"/>
      <w:r w:rsidR="001B4595" w:rsidRPr="00805C24">
        <w:rPr>
          <w:rFonts w:eastAsiaTheme="minorHAnsi"/>
        </w:rPr>
        <w:t>, Dorfman, &amp; Gupta</w:t>
      </w:r>
      <w:r w:rsidR="001B4595" w:rsidRPr="00883A9D">
        <w:t>, 2004</w:t>
      </w:r>
      <w:r w:rsidR="001B4595">
        <w:t>)</w:t>
      </w:r>
      <w:r w:rsidR="00EC1CA1">
        <w:t xml:space="preserve"> that reflects societal norms </w:t>
      </w:r>
      <w:r w:rsidR="0043118D">
        <w:t>to</w:t>
      </w:r>
      <w:r w:rsidR="00CE202D">
        <w:t xml:space="preserve"> </w:t>
      </w:r>
      <w:r w:rsidR="00E42C24">
        <w:t>reduc</w:t>
      </w:r>
      <w:r w:rsidR="0043118D">
        <w:t>e</w:t>
      </w:r>
      <w:r w:rsidR="00E42C24">
        <w:t xml:space="preserve"> </w:t>
      </w:r>
      <w:r w:rsidR="00017CB7">
        <w:t>gender role inequality.</w:t>
      </w:r>
      <w:r w:rsidR="00F422DF">
        <w:t xml:space="preserve"> </w:t>
      </w:r>
      <w:r w:rsidR="008B72A3">
        <w:t>W</w:t>
      </w:r>
      <w:r w:rsidR="00156B98">
        <w:t xml:space="preserve">e </w:t>
      </w:r>
      <w:r w:rsidR="00C71411">
        <w:t>propos</w:t>
      </w:r>
      <w:r w:rsidR="00C8277F">
        <w:t>e</w:t>
      </w:r>
      <w:r w:rsidR="006517AB">
        <w:t xml:space="preserve"> </w:t>
      </w:r>
      <w:r w:rsidR="0011123B">
        <w:t xml:space="preserve">that </w:t>
      </w:r>
      <w:r w:rsidR="006517AB">
        <w:t xml:space="preserve">countries </w:t>
      </w:r>
      <w:r w:rsidR="003403A8">
        <w:t xml:space="preserve">with broader integration and stricter enforcement of </w:t>
      </w:r>
      <w:r w:rsidR="00F93E1D">
        <w:t>gender-</w:t>
      </w:r>
      <w:r w:rsidR="005B10E5">
        <w:t xml:space="preserve">equitable </w:t>
      </w:r>
      <w:r w:rsidR="003403A8">
        <w:t xml:space="preserve">labor </w:t>
      </w:r>
      <w:r w:rsidR="005B10E5">
        <w:t>policies</w:t>
      </w:r>
      <w:r w:rsidR="003D2338">
        <w:t xml:space="preserve"> and </w:t>
      </w:r>
      <w:r w:rsidR="00990809">
        <w:t>practices</w:t>
      </w:r>
      <w:r w:rsidR="00F93E1D">
        <w:t xml:space="preserve"> and countries with</w:t>
      </w:r>
      <w:r w:rsidR="005B10E5">
        <w:t xml:space="preserve"> </w:t>
      </w:r>
      <w:r w:rsidR="003403A8">
        <w:t>more</w:t>
      </w:r>
      <w:r w:rsidR="002C19EF">
        <w:t xml:space="preserve"> </w:t>
      </w:r>
      <w:r w:rsidR="003403A8">
        <w:t>gender</w:t>
      </w:r>
      <w:r w:rsidR="00C8277F">
        <w:t>-</w:t>
      </w:r>
      <w:r w:rsidR="00D06608">
        <w:t>egalitarian</w:t>
      </w:r>
      <w:r w:rsidR="00B97FDB">
        <w:t xml:space="preserve"> </w:t>
      </w:r>
      <w:r w:rsidR="00775B99">
        <w:t xml:space="preserve">cultural </w:t>
      </w:r>
      <w:r w:rsidR="006970F6">
        <w:t>practice</w:t>
      </w:r>
      <w:r w:rsidR="003403A8">
        <w:t>s</w:t>
      </w:r>
      <w:r w:rsidR="003D2338">
        <w:t xml:space="preserve"> </w:t>
      </w:r>
      <w:r w:rsidR="005129DE">
        <w:t>will</w:t>
      </w:r>
      <w:r w:rsidR="001D2BDA">
        <w:t xml:space="preserve"> </w:t>
      </w:r>
      <w:r w:rsidR="006D346F">
        <w:t>exhibit strong</w:t>
      </w:r>
      <w:r w:rsidR="00911555">
        <w:t>er</w:t>
      </w:r>
      <w:r w:rsidR="00775B99">
        <w:t>, more</w:t>
      </w:r>
      <w:r w:rsidR="006D346F">
        <w:t xml:space="preserve"> negative relationship</w:t>
      </w:r>
      <w:r w:rsidR="003B56F5">
        <w:t>s</w:t>
      </w:r>
      <w:r w:rsidR="006D346F">
        <w:t xml:space="preserve"> between perceived workplace gender discrimination and employee </w:t>
      </w:r>
      <w:r w:rsidR="006A33A1">
        <w:t>outcomes</w:t>
      </w:r>
      <w:r w:rsidR="009E53CE">
        <w:t>.</w:t>
      </w:r>
      <w:r w:rsidR="00A81F07">
        <w:t xml:space="preserve"> </w:t>
      </w:r>
    </w:p>
    <w:p w14:paraId="5B221A7F" w14:textId="2F0A0BFE" w:rsidR="00590ED0" w:rsidRDefault="006970F6" w:rsidP="00394D83">
      <w:pPr>
        <w:widowControl w:val="0"/>
        <w:suppressAutoHyphens w:val="0"/>
        <w:spacing w:line="480" w:lineRule="auto"/>
        <w:ind w:firstLine="720"/>
      </w:pPr>
      <w:r>
        <w:t>Our study ma</w:t>
      </w:r>
      <w:r w:rsidR="00590ED0">
        <w:t xml:space="preserve">kes </w:t>
      </w:r>
      <w:r w:rsidR="00990809">
        <w:t xml:space="preserve">several </w:t>
      </w:r>
      <w:r w:rsidR="00590ED0">
        <w:t xml:space="preserve">theoretical and practical advances. </w:t>
      </w:r>
      <w:r w:rsidR="00EC1CA1">
        <w:t>F</w:t>
      </w:r>
      <w:r w:rsidR="001C5877">
        <w:t>irst</w:t>
      </w:r>
      <w:r w:rsidR="00DF0041">
        <w:t>,</w:t>
      </w:r>
      <w:r w:rsidR="001C5877">
        <w:t xml:space="preserve"> </w:t>
      </w:r>
      <w:r w:rsidR="000A4DF6">
        <w:t>w</w:t>
      </w:r>
      <w:r w:rsidR="00590ED0">
        <w:t>e</w:t>
      </w:r>
      <w:r w:rsidR="003B7CCA">
        <w:t xml:space="preserve"> offer an extension of </w:t>
      </w:r>
      <w:r w:rsidR="00590ED0">
        <w:t>relative deprivation theory (Crosby, 1976)</w:t>
      </w:r>
      <w:r w:rsidR="003B56F5">
        <w:t>,</w:t>
      </w:r>
      <w:r w:rsidR="00590ED0">
        <w:t xml:space="preserve"> </w:t>
      </w:r>
      <w:r w:rsidR="00E70532">
        <w:t>which</w:t>
      </w:r>
      <w:r w:rsidR="003B7CCA">
        <w:t xml:space="preserve"> </w:t>
      </w:r>
      <w:r w:rsidR="00EC1CA1">
        <w:t xml:space="preserve">suggests that country differences in societal dictates (e.g., laws) and societal norms (e.g., cultural practices) for gender </w:t>
      </w:r>
      <w:r w:rsidR="009B1B1B">
        <w:t>discrimination</w:t>
      </w:r>
      <w:r w:rsidR="00EC1CA1">
        <w:t xml:space="preserve"> impact the severity with which individuals in these societies react to perceived gender discrimination at work. </w:t>
      </w:r>
      <w:r w:rsidR="003B7CCA">
        <w:t>We expand the analysis of employee outcomes of perceived gender discrimination to a higher level</w:t>
      </w:r>
      <w:r w:rsidR="00882672">
        <w:t xml:space="preserve">—the </w:t>
      </w:r>
      <w:r w:rsidR="003B7CCA">
        <w:t>country level</w:t>
      </w:r>
      <w:r w:rsidR="00882672">
        <w:t xml:space="preserve">—by </w:t>
      </w:r>
      <w:r w:rsidR="003B7CCA">
        <w:t xml:space="preserve">theorizing and testing the influence of two country </w:t>
      </w:r>
      <w:r w:rsidR="003B7CCA">
        <w:lastRenderedPageBreak/>
        <w:t xml:space="preserve">moderators. </w:t>
      </w:r>
      <w:r w:rsidR="000A4DF6">
        <w:t>Second</w:t>
      </w:r>
      <w:r w:rsidR="004837E5">
        <w:t>, o</w:t>
      </w:r>
      <w:r w:rsidR="00590ED0">
        <w:t xml:space="preserve">ur </w:t>
      </w:r>
      <w:r w:rsidR="009B1B1B">
        <w:t xml:space="preserve">paper </w:t>
      </w:r>
      <w:r w:rsidR="00590ED0" w:rsidRPr="00C65E30">
        <w:t>answer</w:t>
      </w:r>
      <w:r w:rsidR="00590ED0">
        <w:t>s</w:t>
      </w:r>
      <w:r w:rsidR="00590ED0" w:rsidRPr="00C65E30">
        <w:t xml:space="preserve"> calls </w:t>
      </w:r>
      <w:r w:rsidR="00590ED0">
        <w:t>to examine discrimination in work settings</w:t>
      </w:r>
      <w:r w:rsidR="00590ED0" w:rsidRPr="00C65E30">
        <w:t xml:space="preserve"> (</w:t>
      </w:r>
      <w:proofErr w:type="spellStart"/>
      <w:r w:rsidR="00590ED0" w:rsidRPr="00C65E30">
        <w:t>Dipboye</w:t>
      </w:r>
      <w:proofErr w:type="spellEnd"/>
      <w:r w:rsidR="00590ED0" w:rsidRPr="00C65E30">
        <w:t xml:space="preserve"> &amp; Colella, 2005</w:t>
      </w:r>
      <w:r w:rsidR="00590ED0">
        <w:t>)</w:t>
      </w:r>
      <w:r w:rsidR="00DA2DB1">
        <w:t xml:space="preserve"> since </w:t>
      </w:r>
      <w:r w:rsidR="00590ED0">
        <w:t xml:space="preserve">most </w:t>
      </w:r>
      <w:r w:rsidR="00DA2DB1">
        <w:t xml:space="preserve">prior </w:t>
      </w:r>
      <w:r w:rsidR="00AB102A">
        <w:t>studies</w:t>
      </w:r>
      <w:r w:rsidR="00AB102A" w:rsidRPr="00C65E30">
        <w:t xml:space="preserve"> </w:t>
      </w:r>
      <w:r w:rsidR="00590ED0">
        <w:t>utilize laboratory experiments with</w:t>
      </w:r>
      <w:r w:rsidR="00590ED0" w:rsidRPr="00C65E30">
        <w:t xml:space="preserve"> student</w:t>
      </w:r>
      <w:r w:rsidR="00882672">
        <w:t>s</w:t>
      </w:r>
      <w:r w:rsidR="00590ED0" w:rsidRPr="00C65E30">
        <w:t xml:space="preserve"> </w:t>
      </w:r>
      <w:r w:rsidR="00590ED0">
        <w:t xml:space="preserve">responding to </w:t>
      </w:r>
      <w:r w:rsidR="0069716F">
        <w:t>vignettes</w:t>
      </w:r>
      <w:r w:rsidR="00DA2DB1">
        <w:t xml:space="preserve"> (Goldman et al., 2006)</w:t>
      </w:r>
      <w:r w:rsidR="0069716F">
        <w:t>.</w:t>
      </w:r>
      <w:r w:rsidR="004837E5">
        <w:t xml:space="preserve"> </w:t>
      </w:r>
      <w:r w:rsidR="006B5AA0">
        <w:t>Third</w:t>
      </w:r>
      <w:r w:rsidR="00036195">
        <w:t xml:space="preserve">, </w:t>
      </w:r>
      <w:r w:rsidR="00FE7FF1">
        <w:t>we</w:t>
      </w:r>
      <w:r w:rsidR="00036195">
        <w:t xml:space="preserve"> provide the most comprehensive meta-analysis of the perceived workplace gender discrimination-outcome relationship to date</w:t>
      </w:r>
      <w:r w:rsidR="00256D7C">
        <w:t xml:space="preserve">. </w:t>
      </w:r>
      <w:r w:rsidR="00FE7FF1">
        <w:t>(</w:t>
      </w:r>
      <w:r w:rsidR="0052090D">
        <w:t>Appendix A in the online supplement</w:t>
      </w:r>
      <w:r w:rsidR="00FE7FF1">
        <w:t xml:space="preserve"> highlights the contributions of our meta-analy</w:t>
      </w:r>
      <w:r w:rsidR="00882672">
        <w:t xml:space="preserve">sis </w:t>
      </w:r>
      <w:r w:rsidR="00FE7FF1">
        <w:t>compared to pri</w:t>
      </w:r>
      <w:r w:rsidR="00E70532">
        <w:t>or meta-analyse</w:t>
      </w:r>
      <w:r w:rsidR="00FE7FF1">
        <w:t xml:space="preserve">s.) </w:t>
      </w:r>
      <w:r w:rsidR="009B1B1B">
        <w:t>O</w:t>
      </w:r>
      <w:r w:rsidR="0087529C">
        <w:t xml:space="preserve">ur meta-analytic </w:t>
      </w:r>
      <w:r w:rsidR="006B5AA0">
        <w:t xml:space="preserve">findings are supported </w:t>
      </w:r>
      <w:r w:rsidR="009B1B1B">
        <w:t xml:space="preserve">and our relative deprivation explanation is corroborated </w:t>
      </w:r>
      <w:r w:rsidR="006B5AA0">
        <w:t xml:space="preserve">by </w:t>
      </w:r>
      <w:r w:rsidR="009B1B1B">
        <w:t xml:space="preserve">our </w:t>
      </w:r>
      <w:r w:rsidR="00FE7FF1">
        <w:t xml:space="preserve">complementary </w:t>
      </w:r>
      <w:r w:rsidR="00032C14">
        <w:t>stud</w:t>
      </w:r>
      <w:r w:rsidR="00FE7FF1">
        <w:t>ies</w:t>
      </w:r>
      <w:r w:rsidR="00032C14">
        <w:t xml:space="preserve">. </w:t>
      </w:r>
      <w:r w:rsidR="00617388">
        <w:t xml:space="preserve">Finally, </w:t>
      </w:r>
      <w:r w:rsidR="009D5E19">
        <w:t xml:space="preserve">our </w:t>
      </w:r>
      <w:r w:rsidR="0087529C">
        <w:t xml:space="preserve">findings </w:t>
      </w:r>
      <w:r w:rsidR="006B5AA0">
        <w:t>offer practical insights</w:t>
      </w:r>
      <w:r w:rsidR="0087529C">
        <w:t xml:space="preserve"> </w:t>
      </w:r>
      <w:r w:rsidR="00D01848">
        <w:t>for</w:t>
      </w:r>
      <w:r w:rsidR="009B1175">
        <w:t xml:space="preserve"> </w:t>
      </w:r>
      <w:r w:rsidR="00D01848">
        <w:t xml:space="preserve">employers </w:t>
      </w:r>
      <w:r w:rsidR="009B1175">
        <w:t>to prevent</w:t>
      </w:r>
      <w:r w:rsidR="009809ED">
        <w:t xml:space="preserve"> and respond to</w:t>
      </w:r>
      <w:r w:rsidR="009B1175">
        <w:t xml:space="preserve"> </w:t>
      </w:r>
      <w:r w:rsidR="00B76EEE">
        <w:t xml:space="preserve">perceived </w:t>
      </w:r>
      <w:r w:rsidR="00911555">
        <w:t>gender discrimination</w:t>
      </w:r>
      <w:r w:rsidR="009B1175">
        <w:t xml:space="preserve">. </w:t>
      </w:r>
    </w:p>
    <w:p w14:paraId="465F686E" w14:textId="77777777" w:rsidR="00590ED0" w:rsidRDefault="00D12703" w:rsidP="00394D83">
      <w:pPr>
        <w:widowControl w:val="0"/>
        <w:suppressAutoHyphens w:val="0"/>
        <w:spacing w:line="480" w:lineRule="auto"/>
        <w:jc w:val="center"/>
        <w:rPr>
          <w:b/>
        </w:rPr>
      </w:pPr>
      <w:r w:rsidRPr="00AA105B">
        <w:rPr>
          <w:b/>
        </w:rPr>
        <w:t>THEORY AND HYPOTHESES</w:t>
      </w:r>
    </w:p>
    <w:p w14:paraId="55362C2F" w14:textId="77777777" w:rsidR="00590ED0" w:rsidRPr="006C0B59" w:rsidRDefault="00590ED0" w:rsidP="00394D83">
      <w:pPr>
        <w:widowControl w:val="0"/>
        <w:suppressAutoHyphens w:val="0"/>
        <w:spacing w:line="480" w:lineRule="auto"/>
        <w:rPr>
          <w:b/>
        </w:rPr>
      </w:pPr>
      <w:r>
        <w:rPr>
          <w:b/>
        </w:rPr>
        <w:t>Key Definitions</w:t>
      </w:r>
    </w:p>
    <w:p w14:paraId="1A49FA51" w14:textId="77777777" w:rsidR="00D16EA2" w:rsidRDefault="00453FBB" w:rsidP="00394D83">
      <w:pPr>
        <w:widowControl w:val="0"/>
        <w:suppressAutoHyphens w:val="0"/>
        <w:spacing w:line="480" w:lineRule="auto"/>
        <w:ind w:firstLine="720"/>
      </w:pPr>
      <w:r>
        <w:t>We define p</w:t>
      </w:r>
      <w:r w:rsidR="00D2544C">
        <w:t xml:space="preserve">erceived workplace gender discrimination as a person’s </w:t>
      </w:r>
      <w:r w:rsidR="00E13CD6">
        <w:t>perception</w:t>
      </w:r>
      <w:r w:rsidR="00D2544C">
        <w:t xml:space="preserve"> that they </w:t>
      </w:r>
      <w:r w:rsidR="00E13CD6">
        <w:t>were denied equality of treatment</w:t>
      </w:r>
      <w:r w:rsidR="00D2544C">
        <w:t xml:space="preserve"> in the workplace because of their gender (Allport, 1954). </w:t>
      </w:r>
      <w:r w:rsidR="007B675E">
        <w:t>W</w:t>
      </w:r>
      <w:r w:rsidR="006E5AD0">
        <w:t xml:space="preserve">e </w:t>
      </w:r>
      <w:r w:rsidR="00D2544C">
        <w:t>consider</w:t>
      </w:r>
      <w:r w:rsidR="007B675E">
        <w:t xml:space="preserve"> it</w:t>
      </w:r>
      <w:r w:rsidR="006E5AD0">
        <w:t xml:space="preserve"> </w:t>
      </w:r>
      <w:r w:rsidR="000E14F1">
        <w:t xml:space="preserve">distinct from </w:t>
      </w:r>
      <w:r w:rsidR="00590ED0">
        <w:t>sexual harassment</w:t>
      </w:r>
      <w:r w:rsidR="009D5E19">
        <w:t>,</w:t>
      </w:r>
      <w:r w:rsidR="000E14F1">
        <w:t xml:space="preserve"> </w:t>
      </w:r>
      <w:r w:rsidR="00486EC9">
        <w:t>which</w:t>
      </w:r>
      <w:r w:rsidR="000E14F1">
        <w:t xml:space="preserve"> has been examined in prior meta-analyses</w:t>
      </w:r>
      <w:r w:rsidR="00590ED0">
        <w:t xml:space="preserve"> (</w:t>
      </w:r>
      <w:r w:rsidR="00C553A8">
        <w:t>e.g.</w:t>
      </w:r>
      <w:r w:rsidR="003A06B2">
        <w:t>,</w:t>
      </w:r>
      <w:r w:rsidR="00C553A8">
        <w:t xml:space="preserve"> </w:t>
      </w:r>
      <w:proofErr w:type="spellStart"/>
      <w:r w:rsidR="00C939CC" w:rsidRPr="00096A7B">
        <w:t>Cantisano</w:t>
      </w:r>
      <w:proofErr w:type="spellEnd"/>
      <w:r w:rsidR="00C939CC" w:rsidRPr="00096A7B">
        <w:t xml:space="preserve">, Domínguez, &amp; </w:t>
      </w:r>
      <w:proofErr w:type="spellStart"/>
      <w:r w:rsidR="00C939CC" w:rsidRPr="00096A7B">
        <w:t>Depolo</w:t>
      </w:r>
      <w:proofErr w:type="spellEnd"/>
      <w:r w:rsidR="00C939CC" w:rsidRPr="00096A7B">
        <w:t>, 2008; Chan, Lam, Chow, &amp; Cheung, 2008</w:t>
      </w:r>
      <w:r w:rsidR="00590ED0" w:rsidRPr="00096A7B">
        <w:t>).</w:t>
      </w:r>
      <w:r w:rsidR="00590ED0">
        <w:t xml:space="preserve"> </w:t>
      </w:r>
      <w:r w:rsidR="000E14F1">
        <w:t>Unlike sexual harassment, defined as</w:t>
      </w:r>
      <w:r w:rsidR="00096A7B">
        <w:t xml:space="preserve"> unwanted sexual advances or inappropriate sexual content </w:t>
      </w:r>
      <w:r w:rsidR="00B76C0F">
        <w:t>at work</w:t>
      </w:r>
      <w:r w:rsidR="00096A7B">
        <w:t>,</w:t>
      </w:r>
      <w:r w:rsidR="000E14F1">
        <w:t xml:space="preserve"> perceived workplace gender discrimination </w:t>
      </w:r>
      <w:r w:rsidR="00FF201E">
        <w:t>does not require</w:t>
      </w:r>
      <w:r w:rsidR="00136BD5">
        <w:t xml:space="preserve"> </w:t>
      </w:r>
      <w:r w:rsidR="00096A7B">
        <w:t xml:space="preserve">sexual connotations. </w:t>
      </w:r>
    </w:p>
    <w:p w14:paraId="2314B6D7" w14:textId="77777777" w:rsidR="00590ED0" w:rsidRPr="00F11352" w:rsidRDefault="00D2544C" w:rsidP="00394D83">
      <w:pPr>
        <w:widowControl w:val="0"/>
        <w:suppressAutoHyphens w:val="0"/>
        <w:spacing w:line="480" w:lineRule="auto"/>
        <w:ind w:firstLine="720"/>
        <w:rPr>
          <w:highlight w:val="lightGray"/>
        </w:rPr>
      </w:pPr>
      <w:r w:rsidRPr="004972F2">
        <w:t xml:space="preserve">Our set of examined </w:t>
      </w:r>
      <w:r w:rsidR="00D16EA2" w:rsidRPr="004972F2">
        <w:t>employee outcomes</w:t>
      </w:r>
      <w:r w:rsidRPr="004972F2">
        <w:t xml:space="preserve"> includes</w:t>
      </w:r>
      <w:r w:rsidR="00D16EA2" w:rsidRPr="004972F2">
        <w:t xml:space="preserve"> job attitudes, </w:t>
      </w:r>
      <w:r w:rsidR="00136BD5" w:rsidRPr="004972F2">
        <w:t xml:space="preserve">psychological health, </w:t>
      </w:r>
      <w:r w:rsidR="00D16EA2" w:rsidRPr="004972F2">
        <w:t>physical health</w:t>
      </w:r>
      <w:r w:rsidR="005E0699" w:rsidRPr="004972F2">
        <w:t xml:space="preserve"> outcomes and behaviors</w:t>
      </w:r>
      <w:r w:rsidR="00D16EA2" w:rsidRPr="004972F2">
        <w:t xml:space="preserve">, </w:t>
      </w:r>
      <w:r w:rsidR="00434225" w:rsidRPr="004972F2">
        <w:t xml:space="preserve">and </w:t>
      </w:r>
      <w:r w:rsidR="008F48A4" w:rsidRPr="004972F2">
        <w:t>work</w:t>
      </w:r>
      <w:r w:rsidR="00F66697" w:rsidRPr="004972F2">
        <w:t>-related</w:t>
      </w:r>
      <w:r w:rsidR="00D16EA2" w:rsidRPr="004972F2">
        <w:t xml:space="preserve"> outcomes. J</w:t>
      </w:r>
      <w:r w:rsidR="00590ED0" w:rsidRPr="004972F2">
        <w:t>ob attitudes</w:t>
      </w:r>
      <w:r w:rsidR="00D16EA2" w:rsidRPr="004972F2">
        <w:t xml:space="preserve"> </w:t>
      </w:r>
      <w:r w:rsidR="00590ED0" w:rsidRPr="004972F2">
        <w:t>are feelings toward one’s job</w:t>
      </w:r>
      <w:r w:rsidR="00D16EA2" w:rsidRPr="004972F2">
        <w:t>,</w:t>
      </w:r>
      <w:r w:rsidR="00590ED0" w:rsidRPr="004972F2">
        <w:t xml:space="preserve"> </w:t>
      </w:r>
      <w:r w:rsidR="006F3697" w:rsidRPr="004972F2">
        <w:t>such as</w:t>
      </w:r>
      <w:r w:rsidR="00590ED0" w:rsidRPr="004972F2">
        <w:t xml:space="preserve"> commitment, </w:t>
      </w:r>
      <w:r w:rsidR="006F3697" w:rsidRPr="004972F2">
        <w:t xml:space="preserve">satisfaction, and </w:t>
      </w:r>
      <w:r w:rsidR="00590ED0" w:rsidRPr="004972F2">
        <w:t>turnover intentions (</w:t>
      </w:r>
      <w:proofErr w:type="spellStart"/>
      <w:r w:rsidR="00590ED0" w:rsidRPr="004972F2">
        <w:t>Herrbach</w:t>
      </w:r>
      <w:proofErr w:type="spellEnd"/>
      <w:r w:rsidR="00590ED0" w:rsidRPr="004972F2">
        <w:t xml:space="preserve">, 2006; Mathieu &amp; </w:t>
      </w:r>
      <w:r w:rsidR="002A1D0D" w:rsidRPr="004972F2">
        <w:t xml:space="preserve">Zajac, 1990). Consistent with </w:t>
      </w:r>
      <w:r w:rsidR="00590ED0" w:rsidRPr="004972F2">
        <w:t xml:space="preserve">Pascoe </w:t>
      </w:r>
      <w:r w:rsidR="002A1D0D" w:rsidRPr="004972F2">
        <w:t>and</w:t>
      </w:r>
      <w:r w:rsidR="00590ED0" w:rsidRPr="004972F2">
        <w:t xml:space="preserve"> Richman</w:t>
      </w:r>
      <w:r w:rsidR="002A1D0D" w:rsidRPr="004972F2">
        <w:t>’s (</w:t>
      </w:r>
      <w:r w:rsidR="00590ED0" w:rsidRPr="004972F2">
        <w:t>2009)</w:t>
      </w:r>
      <w:r w:rsidR="002A1D0D" w:rsidRPr="004972F2">
        <w:t xml:space="preserve"> meta-analysis</w:t>
      </w:r>
      <w:r w:rsidR="00590ED0" w:rsidRPr="004972F2">
        <w:t xml:space="preserve">, we define psychological </w:t>
      </w:r>
      <w:r w:rsidR="00746D37" w:rsidRPr="004972F2">
        <w:t>health</w:t>
      </w:r>
      <w:r w:rsidR="00590ED0" w:rsidRPr="004972F2">
        <w:t xml:space="preserve"> as</w:t>
      </w:r>
      <w:r w:rsidR="00401F7D" w:rsidRPr="004972F2">
        <w:t xml:space="preserve"> </w:t>
      </w:r>
      <w:r w:rsidR="00F41386" w:rsidRPr="004972F2">
        <w:t>an employee’s</w:t>
      </w:r>
      <w:r w:rsidR="00401F7D" w:rsidRPr="004972F2">
        <w:t xml:space="preserve"> ability to function at a satisfactory level of emotional and behavioral adjustment</w:t>
      </w:r>
      <w:r w:rsidR="004A2A1C" w:rsidRPr="004972F2">
        <w:t>. The psychological health variables included in our study comprise psychological symptomology and diagnoses of psychological conditions, illnesses, and disease</w:t>
      </w:r>
      <w:r w:rsidRPr="004972F2">
        <w:t>s</w:t>
      </w:r>
      <w:r w:rsidR="004A2A1C" w:rsidRPr="004972F2">
        <w:t xml:space="preserve"> </w:t>
      </w:r>
      <w:r w:rsidR="004A2A1C" w:rsidRPr="004972F2">
        <w:lastRenderedPageBreak/>
        <w:t xml:space="preserve">measured using various medical indices and health indicators (Danna &amp; Griffin, 1999). </w:t>
      </w:r>
      <w:r w:rsidR="00590ED0" w:rsidRPr="004972F2">
        <w:t xml:space="preserve">We define physical </w:t>
      </w:r>
      <w:r w:rsidR="005E0699" w:rsidRPr="004972F2">
        <w:t xml:space="preserve">health </w:t>
      </w:r>
      <w:r w:rsidR="00A43042" w:rsidRPr="004972F2">
        <w:t>as one’s ability to physically function and perform daily activities without restrictions</w:t>
      </w:r>
      <w:r w:rsidR="00240BF3" w:rsidRPr="004972F2">
        <w:t>. It includes outcomes</w:t>
      </w:r>
      <w:r w:rsidR="00A43042" w:rsidRPr="004972F2">
        <w:t xml:space="preserve"> such</w:t>
      </w:r>
      <w:r w:rsidR="005E0699" w:rsidRPr="004972F2">
        <w:t xml:space="preserve"> </w:t>
      </w:r>
      <w:r w:rsidR="00590ED0" w:rsidRPr="004972F2">
        <w:t xml:space="preserve">as health complaints, insomnia, physical symptoms, and drug or alcohol use (Pascoe &amp; Richman, 2009). </w:t>
      </w:r>
      <w:r w:rsidR="008F48A4" w:rsidRPr="004972F2">
        <w:t>Finally, work</w:t>
      </w:r>
      <w:r w:rsidR="00F66697" w:rsidRPr="004972F2">
        <w:t>-related</w:t>
      </w:r>
      <w:r w:rsidR="008F48A4" w:rsidRPr="004972F2">
        <w:t xml:space="preserve"> </w:t>
      </w:r>
      <w:r w:rsidR="00590ED0" w:rsidRPr="004972F2">
        <w:t xml:space="preserve">outcomes </w:t>
      </w:r>
      <w:r w:rsidR="00240BF3" w:rsidRPr="004972F2">
        <w:t>comprise</w:t>
      </w:r>
      <w:r w:rsidR="00692532" w:rsidRPr="00692532">
        <w:t xml:space="preserve"> </w:t>
      </w:r>
      <w:r w:rsidR="008F48A4">
        <w:t xml:space="preserve">two categories: </w:t>
      </w:r>
      <w:r w:rsidR="00781F84">
        <w:t xml:space="preserve">job-based </w:t>
      </w:r>
      <w:r w:rsidR="004A2A1C">
        <w:t xml:space="preserve">and relationship-based </w:t>
      </w:r>
      <w:r w:rsidR="00781F84">
        <w:t>outcomes</w:t>
      </w:r>
      <w:r w:rsidR="004A2A1C">
        <w:t xml:space="preserve">. </w:t>
      </w:r>
      <w:r>
        <w:t>W</w:t>
      </w:r>
      <w:r w:rsidR="004A2A1C">
        <w:t>ork-related job-based outcomes reflect productivity on the job and its various facets not represented by major measures of job attitudes. This category includes variables</w:t>
      </w:r>
      <w:r w:rsidR="00781F84">
        <w:t xml:space="preserve"> such as </w:t>
      </w:r>
      <w:r w:rsidR="00692532" w:rsidRPr="00692532">
        <w:t>professional efficacy</w:t>
      </w:r>
      <w:r w:rsidR="00590ED0" w:rsidRPr="00692532">
        <w:t xml:space="preserve"> (</w:t>
      </w:r>
      <w:r w:rsidR="00692532" w:rsidRPr="00692532">
        <w:t xml:space="preserve">Burke &amp; Mikkelsen, 2005), </w:t>
      </w:r>
      <w:r w:rsidR="00434225">
        <w:t>devaluing one’s work (</w:t>
      </w:r>
      <w:r w:rsidR="00434225" w:rsidRPr="00434225">
        <w:t>Beaton</w:t>
      </w:r>
      <w:r w:rsidR="005E477C">
        <w:t xml:space="preserve"> et al.</w:t>
      </w:r>
      <w:r w:rsidR="00434225" w:rsidRPr="00434225">
        <w:t xml:space="preserve">, </w:t>
      </w:r>
      <w:r w:rsidR="00434225">
        <w:t xml:space="preserve">2014), </w:t>
      </w:r>
      <w:r w:rsidR="00590ED0" w:rsidRPr="00692532">
        <w:t>job pressure</w:t>
      </w:r>
      <w:r w:rsidR="00692532" w:rsidRPr="00692532">
        <w:t xml:space="preserve"> (</w:t>
      </w:r>
      <w:proofErr w:type="spellStart"/>
      <w:r w:rsidR="00692532" w:rsidRPr="00692532">
        <w:t>Rospenda</w:t>
      </w:r>
      <w:proofErr w:type="spellEnd"/>
      <w:r w:rsidR="003C4BD2">
        <w:t>, Richman, &amp; Shannon,</w:t>
      </w:r>
      <w:r w:rsidR="00692532" w:rsidRPr="00692532">
        <w:t xml:space="preserve"> 2009)</w:t>
      </w:r>
      <w:r w:rsidR="00590ED0" w:rsidRPr="00692532">
        <w:t>, career s</w:t>
      </w:r>
      <w:r w:rsidR="00692532" w:rsidRPr="00692532">
        <w:t>uccess (</w:t>
      </w:r>
      <w:proofErr w:type="spellStart"/>
      <w:r w:rsidR="00692532" w:rsidRPr="00692532">
        <w:t>Herrbach</w:t>
      </w:r>
      <w:proofErr w:type="spellEnd"/>
      <w:r w:rsidR="00692532" w:rsidRPr="00692532">
        <w:t xml:space="preserve"> &amp; </w:t>
      </w:r>
      <w:proofErr w:type="spellStart"/>
      <w:r w:rsidR="00692532" w:rsidRPr="00692532">
        <w:t>Mignonac</w:t>
      </w:r>
      <w:proofErr w:type="spellEnd"/>
      <w:r w:rsidR="00692532" w:rsidRPr="00692532">
        <w:t xml:space="preserve">, 2012), </w:t>
      </w:r>
      <w:r w:rsidR="00F91166">
        <w:t xml:space="preserve">or </w:t>
      </w:r>
      <w:r w:rsidR="00692532" w:rsidRPr="00692532">
        <w:t>supervisor</w:t>
      </w:r>
      <w:r w:rsidR="009809ED">
        <w:t>-</w:t>
      </w:r>
      <w:r w:rsidR="00692532" w:rsidRPr="00692532">
        <w:t>rated performance (Cornejo, 2007)</w:t>
      </w:r>
      <w:r w:rsidR="004A2A1C">
        <w:t>. Finally, work-related</w:t>
      </w:r>
      <w:r w:rsidR="00590ED0" w:rsidRPr="00692532">
        <w:t xml:space="preserve"> </w:t>
      </w:r>
      <w:r w:rsidR="00781F84">
        <w:t xml:space="preserve">relationship-based outcomes </w:t>
      </w:r>
      <w:r w:rsidR="004A2A1C">
        <w:t>reflect the quality of an employee’s relationships in the workplace (e.g., with supervisors and coworkers)</w:t>
      </w:r>
      <w:r w:rsidR="00047FB5">
        <w:t xml:space="preserve">. It </w:t>
      </w:r>
      <w:r w:rsidR="004A2A1C">
        <w:t xml:space="preserve">includes variables </w:t>
      </w:r>
      <w:r w:rsidR="00781F84">
        <w:t xml:space="preserve">such as </w:t>
      </w:r>
      <w:r w:rsidR="00781F84" w:rsidRPr="00692532">
        <w:t>supervisor support (</w:t>
      </w:r>
      <w:proofErr w:type="spellStart"/>
      <w:r w:rsidR="00781F84" w:rsidRPr="00692532">
        <w:t>Minnotte</w:t>
      </w:r>
      <w:proofErr w:type="spellEnd"/>
      <w:r w:rsidR="00781F84" w:rsidRPr="00692532">
        <w:t xml:space="preserve">, 2012), </w:t>
      </w:r>
      <w:r w:rsidR="00C86584">
        <w:t>leader-member exchange (</w:t>
      </w:r>
      <w:r w:rsidR="00C86584" w:rsidRPr="00434225">
        <w:t>Peng</w:t>
      </w:r>
      <w:r w:rsidR="005E477C">
        <w:t xml:space="preserve"> et al.</w:t>
      </w:r>
      <w:r w:rsidR="00C86584" w:rsidRPr="00434225">
        <w:t xml:space="preserve">, </w:t>
      </w:r>
      <w:r w:rsidR="00C86584">
        <w:t>2009),</w:t>
      </w:r>
      <w:r w:rsidR="00C86584" w:rsidRPr="00434225">
        <w:t xml:space="preserve"> </w:t>
      </w:r>
      <w:r w:rsidR="00C86584">
        <w:t xml:space="preserve">and </w:t>
      </w:r>
      <w:r w:rsidR="00590ED0" w:rsidRPr="00692532">
        <w:t xml:space="preserve">felt conflict with </w:t>
      </w:r>
      <w:r w:rsidR="00C81D88">
        <w:t xml:space="preserve">one’s </w:t>
      </w:r>
      <w:r w:rsidR="00590ED0" w:rsidRPr="00692532">
        <w:t>supervisor</w:t>
      </w:r>
      <w:r w:rsidR="00692532" w:rsidRPr="00692532">
        <w:t xml:space="preserve"> (</w:t>
      </w:r>
      <w:proofErr w:type="spellStart"/>
      <w:r w:rsidR="00692532" w:rsidRPr="00692532">
        <w:t>Jeanquart</w:t>
      </w:r>
      <w:proofErr w:type="spellEnd"/>
      <w:r w:rsidR="00692532" w:rsidRPr="00692532">
        <w:t>, 1991)</w:t>
      </w:r>
      <w:r w:rsidR="00590ED0" w:rsidRPr="00692532">
        <w:t>.</w:t>
      </w:r>
      <w:r w:rsidR="00D06608">
        <w:t xml:space="preserve"> </w:t>
      </w:r>
    </w:p>
    <w:p w14:paraId="6CB71F88" w14:textId="77777777" w:rsidR="00590ED0" w:rsidRDefault="00590ED0" w:rsidP="00394D83">
      <w:pPr>
        <w:widowControl w:val="0"/>
        <w:suppressAutoHyphens w:val="0"/>
        <w:spacing w:line="480" w:lineRule="auto"/>
      </w:pPr>
      <w:r>
        <w:rPr>
          <w:b/>
        </w:rPr>
        <w:t xml:space="preserve">Perceived Workplace </w:t>
      </w:r>
      <w:r w:rsidR="0046408F">
        <w:rPr>
          <w:b/>
        </w:rPr>
        <w:t xml:space="preserve">Gender </w:t>
      </w:r>
      <w:r>
        <w:rPr>
          <w:b/>
        </w:rPr>
        <w:t>Discrimination and Employee Outcomes</w:t>
      </w:r>
    </w:p>
    <w:p w14:paraId="4841A4E8" w14:textId="375701C1" w:rsidR="004C6068" w:rsidRDefault="004C6068" w:rsidP="00394D83">
      <w:pPr>
        <w:widowControl w:val="0"/>
        <w:suppressAutoHyphens w:val="0"/>
        <w:spacing w:line="480" w:lineRule="auto"/>
        <w:ind w:firstLine="720"/>
      </w:pPr>
      <w:r>
        <w:t>R</w:t>
      </w:r>
      <w:r w:rsidRPr="00771350">
        <w:t xml:space="preserve">elative deprivation theory </w:t>
      </w:r>
      <w:r>
        <w:t>(Crosby, 1976</w:t>
      </w:r>
      <w:r w:rsidR="000F7B44">
        <w:t>, 1984</w:t>
      </w:r>
      <w:r>
        <w:t xml:space="preserve">) describes that perceptions of being denied an opportunity are anchored </w:t>
      </w:r>
      <w:r w:rsidR="00A44927">
        <w:t>to</w:t>
      </w:r>
      <w:r>
        <w:t xml:space="preserve"> </w:t>
      </w:r>
      <w:r w:rsidR="00F91166">
        <w:t>a</w:t>
      </w:r>
      <w:r>
        <w:t xml:space="preserve"> standard of fair treatment.</w:t>
      </w:r>
      <w:r w:rsidRPr="00771350">
        <w:t xml:space="preserve"> </w:t>
      </w:r>
      <w:r>
        <w:t xml:space="preserve">According to </w:t>
      </w:r>
      <w:r w:rsidR="000F7B44">
        <w:t>Crosby (1976)</w:t>
      </w:r>
      <w:r>
        <w:t>,</w:t>
      </w:r>
      <w:r w:rsidRPr="00771350">
        <w:t xml:space="preserve"> </w:t>
      </w:r>
      <w:r>
        <w:t xml:space="preserve">five </w:t>
      </w:r>
      <w:r w:rsidRPr="00771350">
        <w:t xml:space="preserve">preconditions </w:t>
      </w:r>
      <w:r>
        <w:t xml:space="preserve">must be </w:t>
      </w:r>
      <w:r w:rsidR="00B76C0F">
        <w:t>met</w:t>
      </w:r>
      <w:r>
        <w:t xml:space="preserve"> for a person to feel deprived: </w:t>
      </w:r>
      <w:r w:rsidR="006428A1">
        <w:t>(a</w:t>
      </w:r>
      <w:r w:rsidRPr="00771350">
        <w:t xml:space="preserve">) </w:t>
      </w:r>
      <w:r>
        <w:t>a belief that others (either from their own demographic group or from a</w:t>
      </w:r>
      <w:r w:rsidR="00E2510C">
        <w:t>nother</w:t>
      </w:r>
      <w:r>
        <w:t xml:space="preserve">) have access to </w:t>
      </w:r>
      <w:r w:rsidR="00E2510C">
        <w:t>or</w:t>
      </w:r>
      <w:r>
        <w:t xml:space="preserve"> been granted</w:t>
      </w:r>
      <w:r w:rsidR="006428A1">
        <w:t xml:space="preserve"> the opportunity in question; (b</w:t>
      </w:r>
      <w:r>
        <w:t xml:space="preserve">) </w:t>
      </w:r>
      <w:r w:rsidR="006428A1">
        <w:t>a desire for the opportunity; (c</w:t>
      </w:r>
      <w:r>
        <w:t>) a sense of en</w:t>
      </w:r>
      <w:r w:rsidR="006428A1">
        <w:t>titlement to the opportunity; (d</w:t>
      </w:r>
      <w:r>
        <w:t>) a belief that the opportuni</w:t>
      </w:r>
      <w:r w:rsidR="00F91166">
        <w:t>ty is accessible; and</w:t>
      </w:r>
      <w:r w:rsidR="006428A1">
        <w:t xml:space="preserve"> (e</w:t>
      </w:r>
      <w:r>
        <w:t>) an unwillingness to take personal responsibility for being denied the opportunity</w:t>
      </w:r>
      <w:r w:rsidRPr="00771350">
        <w:t>.</w:t>
      </w:r>
      <w:r>
        <w:t xml:space="preserve"> The feelings of deprivation experienced when these five preconditions are met can result in psychological stress, job dissatisfaction</w:t>
      </w:r>
      <w:r w:rsidR="004650B3">
        <w:t>,</w:t>
      </w:r>
      <w:r>
        <w:t xml:space="preserve"> and other individual consequences (</w:t>
      </w:r>
      <w:r w:rsidRPr="003B2BC0">
        <w:t>see Crosby, 1976, for a review</w:t>
      </w:r>
      <w:r w:rsidR="00D510AE">
        <w:t>)</w:t>
      </w:r>
      <w:r>
        <w:t xml:space="preserve">. </w:t>
      </w:r>
    </w:p>
    <w:p w14:paraId="196045E7" w14:textId="578E9E2A" w:rsidR="00CF7C1E" w:rsidRDefault="00E33E26" w:rsidP="00CF7C1E">
      <w:pPr>
        <w:widowControl w:val="0"/>
        <w:suppressAutoHyphens w:val="0"/>
        <w:spacing w:line="480" w:lineRule="auto"/>
        <w:ind w:firstLine="720"/>
      </w:pPr>
      <w:bookmarkStart w:id="2" w:name="OLE_LINK1"/>
      <w:bookmarkStart w:id="3" w:name="OLE_LINK2"/>
      <w:r>
        <w:lastRenderedPageBreak/>
        <w:t>This</w:t>
      </w:r>
      <w:r w:rsidR="004C6068">
        <w:t xml:space="preserve"> theory </w:t>
      </w:r>
      <w:r w:rsidR="00590ED0">
        <w:t xml:space="preserve">would predict that perceived </w:t>
      </w:r>
      <w:r w:rsidR="008903AF">
        <w:t xml:space="preserve">gender </w:t>
      </w:r>
      <w:r w:rsidR="00590ED0">
        <w:t xml:space="preserve">discrimination at work </w:t>
      </w:r>
      <w:r w:rsidR="00956DA2">
        <w:t xml:space="preserve">affects </w:t>
      </w:r>
      <w:r w:rsidR="00590ED0">
        <w:t>employee outcomes</w:t>
      </w:r>
      <w:r w:rsidR="00B77BCC">
        <w:t xml:space="preserve"> when the preconditions for deprivation are present.</w:t>
      </w:r>
      <w:r w:rsidR="00EF5461">
        <w:t xml:space="preserve"> </w:t>
      </w:r>
      <w:r w:rsidR="00275486">
        <w:t>Evidence f</w:t>
      </w:r>
      <w:r w:rsidR="00CB1073">
        <w:t>or</w:t>
      </w:r>
      <w:r w:rsidR="006E5AD0">
        <w:t xml:space="preserve"> each precondition </w:t>
      </w:r>
      <w:r w:rsidR="00CB1073">
        <w:t xml:space="preserve">occurring </w:t>
      </w:r>
      <w:r w:rsidR="006E5AD0">
        <w:t>in the workplace</w:t>
      </w:r>
      <w:r w:rsidR="00275486">
        <w:t xml:space="preserve"> is found in prior research</w:t>
      </w:r>
      <w:r w:rsidR="00EF5461">
        <w:t xml:space="preserve">. </w:t>
      </w:r>
      <w:r w:rsidR="00DB3EC4">
        <w:t xml:space="preserve">As evidence of the first precondition (a) on how employees have exemplars of other employees who are not discriminated against because of their gender for employment opportunities either before or </w:t>
      </w:r>
      <w:r w:rsidR="00DB3EC4" w:rsidRPr="00980ADD">
        <w:t>after entering an organization</w:t>
      </w:r>
      <w:r w:rsidR="00DB3EC4">
        <w:t>, s</w:t>
      </w:r>
      <w:r w:rsidR="00275486">
        <w:t>tudies</w:t>
      </w:r>
      <w:r w:rsidR="00CB1073">
        <w:t xml:space="preserve"> by </w:t>
      </w:r>
      <w:r w:rsidR="00CB1073" w:rsidRPr="00980ADD">
        <w:t xml:space="preserve">Brown </w:t>
      </w:r>
      <w:r w:rsidR="00CB1073">
        <w:t>and</w:t>
      </w:r>
      <w:r w:rsidR="00CB1073" w:rsidRPr="00980ADD">
        <w:t xml:space="preserve"> Ford </w:t>
      </w:r>
      <w:r w:rsidR="00CB1073">
        <w:t>(</w:t>
      </w:r>
      <w:r w:rsidR="00CB1073" w:rsidRPr="00980ADD">
        <w:t>1977</w:t>
      </w:r>
      <w:r w:rsidR="00CB1073">
        <w:t>)</w:t>
      </w:r>
      <w:r w:rsidR="00CB1073" w:rsidRPr="00980ADD">
        <w:t xml:space="preserve">, Morrison </w:t>
      </w:r>
      <w:r w:rsidR="00CB1073">
        <w:t>and</w:t>
      </w:r>
      <w:r w:rsidR="00CB1073" w:rsidRPr="00980ADD">
        <w:t xml:space="preserve"> Von Glinow, </w:t>
      </w:r>
      <w:r w:rsidR="00CB1073">
        <w:t>(</w:t>
      </w:r>
      <w:r w:rsidR="00CB1073" w:rsidRPr="00980ADD">
        <w:t>1990</w:t>
      </w:r>
      <w:r w:rsidR="00CB1073">
        <w:t>)</w:t>
      </w:r>
      <w:r w:rsidR="00CB1073" w:rsidRPr="00980ADD">
        <w:t xml:space="preserve">, </w:t>
      </w:r>
      <w:r w:rsidR="00CB1073">
        <w:t>and</w:t>
      </w:r>
      <w:r w:rsidR="00CB1073" w:rsidRPr="00980ADD">
        <w:t xml:space="preserve"> Castilla</w:t>
      </w:r>
      <w:r w:rsidR="00CB1073">
        <w:t xml:space="preserve"> (</w:t>
      </w:r>
      <w:r w:rsidR="00CB1073" w:rsidRPr="002F4D00">
        <w:t>2008)</w:t>
      </w:r>
      <w:r w:rsidR="00CB1073">
        <w:t xml:space="preserve"> illustrate differences between minority groups in the allocation of work opportunities such as promotions and rewards</w:t>
      </w:r>
      <w:r w:rsidR="00DB3EC4">
        <w:t>.</w:t>
      </w:r>
      <w:r w:rsidR="002F4D00" w:rsidRPr="00980ADD">
        <w:t xml:space="preserve"> </w:t>
      </w:r>
      <w:r w:rsidR="00DB3EC4">
        <w:t>Evidence of the second precondition (b)</w:t>
      </w:r>
      <w:r w:rsidR="00CB1073">
        <w:t xml:space="preserve"> that employees</w:t>
      </w:r>
      <w:r w:rsidR="00A71F60">
        <w:t xml:space="preserve"> desire</w:t>
      </w:r>
      <w:r w:rsidR="000A0B30">
        <w:t xml:space="preserve"> </w:t>
      </w:r>
      <w:r w:rsidR="007008A2">
        <w:t>fair treatment</w:t>
      </w:r>
      <w:r w:rsidR="005F7548">
        <w:t xml:space="preserve"> in employment opportunities that is</w:t>
      </w:r>
      <w:r w:rsidR="007008A2">
        <w:t xml:space="preserve"> </w:t>
      </w:r>
      <w:r w:rsidR="000A0B30">
        <w:t>free of gender discrimination</w:t>
      </w:r>
      <w:r w:rsidR="00DB3EC4">
        <w:t xml:space="preserve"> is found</w:t>
      </w:r>
      <w:r w:rsidR="00C1696C">
        <w:t xml:space="preserve"> </w:t>
      </w:r>
      <w:r w:rsidR="00C03AC1">
        <w:t>in</w:t>
      </w:r>
      <w:r w:rsidR="00CB1073">
        <w:t xml:space="preserve"> research on the relationship between discrimination and perceptions of </w:t>
      </w:r>
      <w:r w:rsidR="005A4E94">
        <w:t xml:space="preserve">lack of </w:t>
      </w:r>
      <w:r w:rsidR="00CB1073">
        <w:t>fairness</w:t>
      </w:r>
      <w:r w:rsidR="00C03AC1">
        <w:t xml:space="preserve"> (e.g., </w:t>
      </w:r>
      <w:proofErr w:type="spellStart"/>
      <w:r w:rsidR="00C1696C" w:rsidRPr="00C1696C">
        <w:t>Benokraitis</w:t>
      </w:r>
      <w:proofErr w:type="spellEnd"/>
      <w:r w:rsidR="00C03AC1">
        <w:t xml:space="preserve"> &amp;</w:t>
      </w:r>
      <w:r w:rsidR="00C1696C" w:rsidRPr="00C1696C">
        <w:t xml:space="preserve"> Feagin</w:t>
      </w:r>
      <w:r w:rsidR="007678D0">
        <w:t xml:space="preserve">, </w:t>
      </w:r>
      <w:r w:rsidR="00C1696C" w:rsidRPr="00C1696C">
        <w:t>1995</w:t>
      </w:r>
      <w:r w:rsidR="007678D0">
        <w:t>;</w:t>
      </w:r>
      <w:r w:rsidR="00C1696C">
        <w:t xml:space="preserve"> Heilman</w:t>
      </w:r>
      <w:r w:rsidR="007678D0">
        <w:t xml:space="preserve">, </w:t>
      </w:r>
      <w:r w:rsidR="00C1696C">
        <w:t>2001</w:t>
      </w:r>
      <w:r w:rsidR="007678D0">
        <w:t>;</w:t>
      </w:r>
      <w:r w:rsidR="00C1696C">
        <w:t xml:space="preserve"> </w:t>
      </w:r>
      <w:r w:rsidR="00C1696C" w:rsidRPr="00C1696C">
        <w:t xml:space="preserve">Triana </w:t>
      </w:r>
      <w:r w:rsidR="007678D0">
        <w:t>&amp;</w:t>
      </w:r>
      <w:r w:rsidR="00C1696C">
        <w:t xml:space="preserve"> </w:t>
      </w:r>
      <w:r w:rsidR="00C1696C" w:rsidRPr="00C1696C">
        <w:t>Garc</w:t>
      </w:r>
      <w:r w:rsidR="005E477C">
        <w:t>í</w:t>
      </w:r>
      <w:r w:rsidR="00C1696C" w:rsidRPr="00C1696C">
        <w:t>a</w:t>
      </w:r>
      <w:r w:rsidR="007678D0">
        <w:t>,</w:t>
      </w:r>
      <w:r w:rsidR="00C1696C">
        <w:t xml:space="preserve"> </w:t>
      </w:r>
      <w:r w:rsidR="00C1696C" w:rsidRPr="00C1696C">
        <w:t>2009)</w:t>
      </w:r>
      <w:r w:rsidR="00CB1073">
        <w:t>.</w:t>
      </w:r>
      <w:r w:rsidR="00A71F60">
        <w:t xml:space="preserve"> </w:t>
      </w:r>
    </w:p>
    <w:p w14:paraId="1D667ECB" w14:textId="5910D563" w:rsidR="00E355A4" w:rsidRDefault="001870CA" w:rsidP="00394D83">
      <w:pPr>
        <w:widowControl w:val="0"/>
        <w:suppressAutoHyphens w:val="0"/>
        <w:spacing w:line="480" w:lineRule="auto"/>
        <w:ind w:firstLine="720"/>
      </w:pPr>
      <w:r>
        <w:t xml:space="preserve">Support for the third precondition (c) </w:t>
      </w:r>
      <w:r w:rsidR="00E05868">
        <w:t>on employees feeling entitled to employment opportunities free from gender discrimination</w:t>
      </w:r>
      <w:r>
        <w:t xml:space="preserve"> is found in </w:t>
      </w:r>
      <w:proofErr w:type="spellStart"/>
      <w:r w:rsidR="00CB1073" w:rsidRPr="00C1696C">
        <w:t>Benokraitis</w:t>
      </w:r>
      <w:proofErr w:type="spellEnd"/>
      <w:r w:rsidR="00CB1073" w:rsidRPr="00C1696C">
        <w:t xml:space="preserve"> </w:t>
      </w:r>
      <w:r w:rsidR="00CB1073">
        <w:t>and</w:t>
      </w:r>
      <w:r w:rsidR="00CB1073" w:rsidRPr="00C1696C">
        <w:t xml:space="preserve"> Feagin</w:t>
      </w:r>
      <w:r w:rsidR="003F2B16">
        <w:t>’s</w:t>
      </w:r>
      <w:r w:rsidR="00CB1073">
        <w:t xml:space="preserve"> (</w:t>
      </w:r>
      <w:r w:rsidR="00CB1073" w:rsidRPr="00C1696C">
        <w:t>1995</w:t>
      </w:r>
      <w:r w:rsidR="00CB1073">
        <w:t>)</w:t>
      </w:r>
      <w:r w:rsidR="00CB1073" w:rsidDel="00CB1073">
        <w:t xml:space="preserve"> </w:t>
      </w:r>
      <w:r w:rsidR="003F2B16">
        <w:t>research</w:t>
      </w:r>
      <w:r w:rsidR="00C23ABD">
        <w:t>,</w:t>
      </w:r>
      <w:r w:rsidR="003F2B16">
        <w:t xml:space="preserve"> </w:t>
      </w:r>
      <w:r w:rsidR="00CB1073">
        <w:t>as well as Rousseau</w:t>
      </w:r>
      <w:r w:rsidR="003F2B16">
        <w:t>’s</w:t>
      </w:r>
      <w:r w:rsidR="00CB1073">
        <w:t xml:space="preserve"> (1995) </w:t>
      </w:r>
      <w:r w:rsidR="003F2B16">
        <w:t>psychological c</w:t>
      </w:r>
      <w:r w:rsidR="00AD6B79">
        <w:t xml:space="preserve">ontract </w:t>
      </w:r>
      <w:r w:rsidR="003F2B16">
        <w:t>framework</w:t>
      </w:r>
      <w:r w:rsidR="00C23ABD">
        <w:t>,</w:t>
      </w:r>
      <w:r w:rsidR="003F2B16">
        <w:t xml:space="preserve"> </w:t>
      </w:r>
      <w:r>
        <w:t xml:space="preserve">which </w:t>
      </w:r>
      <w:r w:rsidR="003F2B16">
        <w:t>suggest</w:t>
      </w:r>
      <w:r w:rsidR="009815E2">
        <w:t>s</w:t>
      </w:r>
      <w:r w:rsidR="003F2B16">
        <w:t xml:space="preserve"> that</w:t>
      </w:r>
      <w:r w:rsidR="00CB1073">
        <w:t xml:space="preserve"> employees’</w:t>
      </w:r>
      <w:r w:rsidR="003F2B16">
        <w:t xml:space="preserve"> </w:t>
      </w:r>
      <w:r w:rsidR="00C23ABD">
        <w:t xml:space="preserve">and employers’ </w:t>
      </w:r>
      <w:r w:rsidR="003F2B16">
        <w:t xml:space="preserve">beliefs about their </w:t>
      </w:r>
      <w:r w:rsidR="00CB1073">
        <w:t xml:space="preserve">obligations and entitlements include considerations of gender equality and the absence of discrimination as key employee entitlements. </w:t>
      </w:r>
      <w:r w:rsidR="003F2B16">
        <w:t xml:space="preserve">Similarly, </w:t>
      </w:r>
      <w:proofErr w:type="spellStart"/>
      <w:r w:rsidR="003F2B16" w:rsidRPr="00CA2C72">
        <w:t>DelCampo</w:t>
      </w:r>
      <w:proofErr w:type="spellEnd"/>
      <w:r w:rsidR="003F2B16" w:rsidRPr="00CA2C72">
        <w:t xml:space="preserve">, Rogers, </w:t>
      </w:r>
      <w:r w:rsidR="003F2B16">
        <w:t>and</w:t>
      </w:r>
      <w:r w:rsidR="003F2B16" w:rsidRPr="00CA2C72">
        <w:t xml:space="preserve"> Jacobson </w:t>
      </w:r>
      <w:r w:rsidR="003F2B16">
        <w:t>(</w:t>
      </w:r>
      <w:r w:rsidR="003F2B16" w:rsidRPr="00CA2C72">
        <w:t>2010</w:t>
      </w:r>
      <w:r w:rsidR="003F2B16">
        <w:t>)</w:t>
      </w:r>
      <w:r w:rsidR="00CB1073" w:rsidDel="00CB1073">
        <w:t xml:space="preserve"> </w:t>
      </w:r>
      <w:r w:rsidR="003F2B16">
        <w:t xml:space="preserve">and </w:t>
      </w:r>
      <w:proofErr w:type="spellStart"/>
      <w:r w:rsidR="003F2B16">
        <w:t>Chrobot</w:t>
      </w:r>
      <w:proofErr w:type="spellEnd"/>
      <w:r w:rsidR="003F2B16">
        <w:t xml:space="preserve">-Mason (2003) observed that employees </w:t>
      </w:r>
      <w:r w:rsidR="00A71F60">
        <w:t xml:space="preserve">feel entitled to </w:t>
      </w:r>
      <w:r w:rsidR="007008A2">
        <w:t xml:space="preserve">employment </w:t>
      </w:r>
      <w:r w:rsidR="00A71F60">
        <w:t>free from gender discrimination</w:t>
      </w:r>
      <w:r w:rsidR="003F2B16">
        <w:t>.</w:t>
      </w:r>
      <w:r w:rsidR="00522CD1">
        <w:t xml:space="preserve"> </w:t>
      </w:r>
    </w:p>
    <w:p w14:paraId="001AFD5A" w14:textId="02CDBC8C" w:rsidR="00E355A4" w:rsidRDefault="00BE65F4" w:rsidP="00394D83">
      <w:pPr>
        <w:widowControl w:val="0"/>
        <w:suppressAutoHyphens w:val="0"/>
        <w:spacing w:line="480" w:lineRule="auto"/>
        <w:ind w:firstLine="720"/>
      </w:pPr>
      <w:r>
        <w:t>We find several studies demonstrating evidence of the fourth precondition (d)</w:t>
      </w:r>
      <w:r w:rsidR="0089417F">
        <w:t>,</w:t>
      </w:r>
      <w:r>
        <w:t xml:space="preserve"> or </w:t>
      </w:r>
      <w:r w:rsidR="003F2B16">
        <w:t xml:space="preserve">that employees </w:t>
      </w:r>
      <w:r w:rsidR="007678D0">
        <w:t>var</w:t>
      </w:r>
      <w:r>
        <w:t>y</w:t>
      </w:r>
      <w:r w:rsidR="007678D0">
        <w:t xml:space="preserve"> in</w:t>
      </w:r>
      <w:r w:rsidR="003F2B16">
        <w:t xml:space="preserve"> how strongly </w:t>
      </w:r>
      <w:r w:rsidR="007678D0">
        <w:t xml:space="preserve">they believe </w:t>
      </w:r>
      <w:r w:rsidR="003F2B16">
        <w:t xml:space="preserve">their current behaviors </w:t>
      </w:r>
      <w:r w:rsidR="002A6C3A">
        <w:t>are</w:t>
      </w:r>
      <w:r w:rsidR="003F2B16">
        <w:t xml:space="preserve"> associated with access to desired opportunities (e.g.</w:t>
      </w:r>
      <w:r w:rsidR="002A6C3A">
        <w:t>,</w:t>
      </w:r>
      <w:r w:rsidR="003F2B16">
        <w:t xml:space="preserve"> </w:t>
      </w:r>
      <w:proofErr w:type="spellStart"/>
      <w:r w:rsidR="003F2B16" w:rsidRPr="000D57AF">
        <w:t>Chrobot</w:t>
      </w:r>
      <w:proofErr w:type="spellEnd"/>
      <w:r w:rsidR="003F2B16" w:rsidRPr="000D57AF">
        <w:t>-Mason</w:t>
      </w:r>
      <w:r w:rsidR="003F2B16">
        <w:t>,</w:t>
      </w:r>
      <w:r w:rsidR="003F2B16" w:rsidRPr="000D57AF">
        <w:t xml:space="preserve"> 2003</w:t>
      </w:r>
      <w:r w:rsidR="003F2B16">
        <w:t xml:space="preserve">; </w:t>
      </w:r>
      <w:r w:rsidR="003F2B16" w:rsidRPr="000D57AF">
        <w:t>Cox</w:t>
      </w:r>
      <w:r w:rsidR="003F2B16">
        <w:t xml:space="preserve">, </w:t>
      </w:r>
      <w:r w:rsidR="003F2B16" w:rsidRPr="000D57AF">
        <w:t>1994</w:t>
      </w:r>
      <w:r w:rsidR="003F2B16">
        <w:t>;</w:t>
      </w:r>
      <w:r w:rsidR="003F2B16" w:rsidRPr="000D57AF">
        <w:t xml:space="preserve"> Ridgeway </w:t>
      </w:r>
      <w:r w:rsidR="003F2B16">
        <w:t>&amp;</w:t>
      </w:r>
      <w:r w:rsidR="003F2B16" w:rsidRPr="000D57AF">
        <w:t xml:space="preserve"> Berger</w:t>
      </w:r>
      <w:r w:rsidR="003F2B16">
        <w:t xml:space="preserve">, </w:t>
      </w:r>
      <w:r w:rsidR="003F2B16" w:rsidRPr="000D57AF">
        <w:t>1986, Ridgeway</w:t>
      </w:r>
      <w:r w:rsidR="003F2B16">
        <w:t>,</w:t>
      </w:r>
      <w:r w:rsidR="003F2B16" w:rsidRPr="000D57AF">
        <w:t xml:space="preserve"> 2011</w:t>
      </w:r>
      <w:r w:rsidR="003F2B16">
        <w:t>).</w:t>
      </w:r>
      <w:r w:rsidR="00A71F60">
        <w:t xml:space="preserve"> </w:t>
      </w:r>
      <w:r w:rsidR="003F2B16">
        <w:t xml:space="preserve">Employees may </w:t>
      </w:r>
      <w:r w:rsidR="00170E8A">
        <w:t xml:space="preserve">believe that </w:t>
      </w:r>
      <w:r w:rsidR="007008A2">
        <w:t>employment opportunities are personally accessible</w:t>
      </w:r>
      <w:r w:rsidR="003F2B16">
        <w:t xml:space="preserve"> </w:t>
      </w:r>
      <w:r w:rsidR="002D0B02">
        <w:t>if</w:t>
      </w:r>
      <w:r w:rsidR="003F2B16">
        <w:t xml:space="preserve"> they do not see job-irrelevant criteria such as gender being used in the distribution </w:t>
      </w:r>
      <w:r w:rsidR="003F2B16">
        <w:lastRenderedPageBreak/>
        <w:t xml:space="preserve">of these opportunities. </w:t>
      </w:r>
      <w:r w:rsidR="00E355A4">
        <w:t xml:space="preserve">Finally, </w:t>
      </w:r>
      <w:r>
        <w:t xml:space="preserve">the fifth precondition (e) on employees </w:t>
      </w:r>
      <w:r w:rsidR="00D44A0F">
        <w:t>taking</w:t>
      </w:r>
      <w:r>
        <w:t xml:space="preserve"> no personal responsibility for not receiving employment opportunities is supported</w:t>
      </w:r>
      <w:r w:rsidR="00E355A4">
        <w:t xml:space="preserve"> by Major, Kaiser, and McCoy</w:t>
      </w:r>
      <w:r>
        <w:t>’s</w:t>
      </w:r>
      <w:r w:rsidR="00E355A4">
        <w:t xml:space="preserve"> (2003) </w:t>
      </w:r>
      <w:r>
        <w:t>research which</w:t>
      </w:r>
      <w:r w:rsidR="00E355A4">
        <w:t xml:space="preserve"> suggests that employees vary in the attributions that they make with regard</w:t>
      </w:r>
      <w:r w:rsidR="004A062B">
        <w:t xml:space="preserve"> </w:t>
      </w:r>
      <w:r w:rsidR="00E355A4">
        <w:t xml:space="preserve">to not receiving employment opportunities. Employees may </w:t>
      </w:r>
      <w:r w:rsidR="009815E2">
        <w:t xml:space="preserve">not </w:t>
      </w:r>
      <w:r w:rsidR="00170E8A">
        <w:t>take personal responsibility</w:t>
      </w:r>
      <w:r w:rsidR="009815E2">
        <w:t xml:space="preserve"> when denied </w:t>
      </w:r>
      <w:r w:rsidR="00FF3371">
        <w:t>employment opportunit</w:t>
      </w:r>
      <w:r w:rsidR="00CC3AA8">
        <w:t>ies</w:t>
      </w:r>
      <w:r w:rsidR="00075F78">
        <w:t xml:space="preserve"> </w:t>
      </w:r>
      <w:r w:rsidR="00AD6B79">
        <w:t>if they</w:t>
      </w:r>
      <w:r w:rsidR="00E355A4">
        <w:t xml:space="preserve"> attribute </w:t>
      </w:r>
      <w:r w:rsidR="00AD6B79">
        <w:t>th</w:t>
      </w:r>
      <w:r w:rsidR="0089417F">
        <w:t>is</w:t>
      </w:r>
      <w:r w:rsidR="00AD6B79">
        <w:t xml:space="preserve"> situation</w:t>
      </w:r>
      <w:r w:rsidR="00E355A4">
        <w:t xml:space="preserve"> to cognitive biases or prejudice</w:t>
      </w:r>
      <w:r w:rsidR="00741444">
        <w:t xml:space="preserve"> (on the part of the employer or the agent distributing the opportunity)</w:t>
      </w:r>
      <w:r w:rsidR="00590ED0">
        <w:t xml:space="preserve">. </w:t>
      </w:r>
    </w:p>
    <w:p w14:paraId="267623BD" w14:textId="77777777" w:rsidR="00590ED0" w:rsidRDefault="00096391" w:rsidP="00394D83">
      <w:pPr>
        <w:widowControl w:val="0"/>
        <w:suppressAutoHyphens w:val="0"/>
        <w:spacing w:line="480" w:lineRule="auto"/>
        <w:ind w:firstLine="720"/>
      </w:pPr>
      <w:r>
        <w:t>P</w:t>
      </w:r>
      <w:r w:rsidR="00A92712">
        <w:t>erceptions of being deprived employment opportunities on the basis of gender</w:t>
      </w:r>
      <w:r>
        <w:t xml:space="preserve"> </w:t>
      </w:r>
      <w:r w:rsidR="00A92712">
        <w:t xml:space="preserve">can have </w:t>
      </w:r>
      <w:r w:rsidR="002D0B02">
        <w:t xml:space="preserve">a </w:t>
      </w:r>
      <w:r w:rsidR="00A92712">
        <w:t>deleterious</w:t>
      </w:r>
      <w:r w:rsidR="002D0B02">
        <w:t xml:space="preserve"> </w:t>
      </w:r>
      <w:r w:rsidR="00A92712">
        <w:t xml:space="preserve">impact on employees. </w:t>
      </w:r>
      <w:r w:rsidR="00590ED0">
        <w:t xml:space="preserve">This is consistent with research </w:t>
      </w:r>
      <w:r w:rsidR="00F13A04">
        <w:t xml:space="preserve">across multiple countries </w:t>
      </w:r>
      <w:r w:rsidR="00590ED0">
        <w:t xml:space="preserve">showing that perceived </w:t>
      </w:r>
      <w:r w:rsidR="008903AF">
        <w:t xml:space="preserve">gender </w:t>
      </w:r>
      <w:r w:rsidR="00590ED0">
        <w:t>discrimination has a negative effect on job satisfaction (</w:t>
      </w:r>
      <w:proofErr w:type="spellStart"/>
      <w:r w:rsidR="00590ED0">
        <w:t>Antecol</w:t>
      </w:r>
      <w:proofErr w:type="spellEnd"/>
      <w:r w:rsidR="00590ED0">
        <w:t xml:space="preserve">, </w:t>
      </w:r>
      <w:proofErr w:type="spellStart"/>
      <w:r w:rsidR="00590ED0">
        <w:t>Barcus</w:t>
      </w:r>
      <w:proofErr w:type="spellEnd"/>
      <w:r w:rsidR="00590ED0">
        <w:t>, &amp; Cobb-Clark, 2009; Burke &amp; Mikkelsen, 2005), commitment (</w:t>
      </w:r>
      <w:proofErr w:type="spellStart"/>
      <w:r w:rsidR="00590ED0">
        <w:t>Ensher</w:t>
      </w:r>
      <w:proofErr w:type="spellEnd"/>
      <w:r w:rsidR="00590ED0">
        <w:t xml:space="preserve">, Grant-Vallone, &amp; Donaldson, 2001; Raver &amp; Nishii, 2010), </w:t>
      </w:r>
      <w:r w:rsidR="004650B3">
        <w:t xml:space="preserve">and </w:t>
      </w:r>
      <w:r w:rsidR="00AD277C">
        <w:t>perceptions of fairness (</w:t>
      </w:r>
      <w:proofErr w:type="spellStart"/>
      <w:r w:rsidR="00AD277C">
        <w:t>Blau</w:t>
      </w:r>
      <w:proofErr w:type="spellEnd"/>
      <w:r w:rsidR="00AD277C">
        <w:t xml:space="preserve">, Tatum, Ward-Cook, </w:t>
      </w:r>
      <w:proofErr w:type="spellStart"/>
      <w:r w:rsidR="00AD277C">
        <w:t>Dobria</w:t>
      </w:r>
      <w:proofErr w:type="spellEnd"/>
      <w:r w:rsidR="00AD277C">
        <w:t xml:space="preserve">, &amp; McCoy, 2005; </w:t>
      </w:r>
      <w:r w:rsidR="003152AD">
        <w:t>Foley, Kidder, &amp; Powell, 2002</w:t>
      </w:r>
      <w:r w:rsidR="00AD277C">
        <w:t>)</w:t>
      </w:r>
      <w:r w:rsidR="00C81D88">
        <w:t>,</w:t>
      </w:r>
      <w:r w:rsidR="00AD277C">
        <w:t xml:space="preserve"> </w:t>
      </w:r>
      <w:r w:rsidR="00590ED0">
        <w:t xml:space="preserve">and a positive effect on turnover intent (Beaton &amp; </w:t>
      </w:r>
      <w:proofErr w:type="spellStart"/>
      <w:r w:rsidR="00590ED0">
        <w:t>Tougas</w:t>
      </w:r>
      <w:proofErr w:type="spellEnd"/>
      <w:r w:rsidR="00590ED0">
        <w:t>, 1997; Foley</w:t>
      </w:r>
      <w:r w:rsidR="003152AD">
        <w:t xml:space="preserve"> et al.</w:t>
      </w:r>
      <w:r w:rsidR="00590ED0">
        <w:t xml:space="preserve">, 2002). </w:t>
      </w:r>
      <w:r w:rsidR="00F91166">
        <w:t>Thus</w:t>
      </w:r>
      <w:r w:rsidR="00590ED0">
        <w:t xml:space="preserve">, we anticipate </w:t>
      </w:r>
      <w:r w:rsidR="00BC6CE0">
        <w:t xml:space="preserve">that </w:t>
      </w:r>
      <w:r w:rsidR="00590ED0">
        <w:t xml:space="preserve">perceived </w:t>
      </w:r>
      <w:r w:rsidR="00CF21A7">
        <w:t>gender</w:t>
      </w:r>
      <w:r w:rsidR="00590ED0">
        <w:t xml:space="preserve"> discrimination at work will be negatively related to employee job attitudes. </w:t>
      </w:r>
    </w:p>
    <w:p w14:paraId="1D45CC6D" w14:textId="77777777" w:rsidR="00AD277C" w:rsidRDefault="00AD277C" w:rsidP="00394D83">
      <w:pPr>
        <w:widowControl w:val="0"/>
        <w:suppressAutoHyphens w:val="0"/>
        <w:spacing w:line="480" w:lineRule="auto"/>
        <w:ind w:firstLine="720"/>
      </w:pPr>
      <w:r>
        <w:t xml:space="preserve">Perceived gender discrimination at work has </w:t>
      </w:r>
      <w:r w:rsidR="003377B4">
        <w:t xml:space="preserve">also </w:t>
      </w:r>
      <w:r>
        <w:t xml:space="preserve">been </w:t>
      </w:r>
      <w:r w:rsidR="009D5E19">
        <w:t>associa</w:t>
      </w:r>
      <w:r>
        <w:t xml:space="preserve">ted with psychological outcomes </w:t>
      </w:r>
      <w:r w:rsidR="00F13A04">
        <w:t xml:space="preserve">of employees </w:t>
      </w:r>
      <w:r>
        <w:t xml:space="preserve">including stress (Beaton &amp; </w:t>
      </w:r>
      <w:proofErr w:type="spellStart"/>
      <w:r>
        <w:t>Tougas</w:t>
      </w:r>
      <w:proofErr w:type="spellEnd"/>
      <w:r>
        <w:t>, 1997), emotional exhaustion (Burke &amp; Mikkelsen, 2005), negative affect (Nelson, 2001), lower life satisfaction (Buchanan, 2002)</w:t>
      </w:r>
      <w:r w:rsidR="005F7548">
        <w:t>,</w:t>
      </w:r>
      <w:r>
        <w:t xml:space="preserve"> and </w:t>
      </w:r>
      <w:r w:rsidR="005F7548">
        <w:t xml:space="preserve">poorer </w:t>
      </w:r>
      <w:r>
        <w:t>mental health (</w:t>
      </w:r>
      <w:proofErr w:type="spellStart"/>
      <w:r>
        <w:t>Rospenda</w:t>
      </w:r>
      <w:proofErr w:type="spellEnd"/>
      <w:r>
        <w:t xml:space="preserve"> et al., 2009). Research </w:t>
      </w:r>
      <w:r w:rsidR="00A85C8F">
        <w:t xml:space="preserve">also </w:t>
      </w:r>
      <w:r w:rsidR="004D2AB6">
        <w:t>shows</w:t>
      </w:r>
      <w:r>
        <w:t xml:space="preserve"> that perceived gender discrimination is </w:t>
      </w:r>
      <w:r w:rsidR="00370E58">
        <w:t>associated with</w:t>
      </w:r>
      <w:r>
        <w:t xml:space="preserve"> physical health outcomes such </w:t>
      </w:r>
      <w:r w:rsidR="006428A1">
        <w:t xml:space="preserve">as </w:t>
      </w:r>
      <w:r>
        <w:t>subjective health complaints (Burke &amp; Mikkelsen, 2005), insomnia (</w:t>
      </w:r>
      <w:r w:rsidRPr="00D729C4">
        <w:t xml:space="preserve">Goldenhar, Swanson, Hurrell, Ruder, </w:t>
      </w:r>
      <w:r>
        <w:t xml:space="preserve">&amp; </w:t>
      </w:r>
      <w:proofErr w:type="spellStart"/>
      <w:r w:rsidRPr="00D729C4">
        <w:t>Deddens</w:t>
      </w:r>
      <w:proofErr w:type="spellEnd"/>
      <w:r w:rsidRPr="00D729C4">
        <w:t xml:space="preserve">, </w:t>
      </w:r>
      <w:r>
        <w:t xml:space="preserve">1998), other </w:t>
      </w:r>
      <w:r w:rsidR="007A1402">
        <w:t xml:space="preserve">physical </w:t>
      </w:r>
      <w:r>
        <w:t xml:space="preserve">conditions (Nelson, 2001; Raver &amp; Nishii, 2010), and </w:t>
      </w:r>
      <w:r w:rsidR="005F7548">
        <w:t>alcohol consumption</w:t>
      </w:r>
      <w:r>
        <w:t xml:space="preserve"> (</w:t>
      </w:r>
      <w:proofErr w:type="spellStart"/>
      <w:r>
        <w:t>Rospenda</w:t>
      </w:r>
      <w:proofErr w:type="spellEnd"/>
      <w:r>
        <w:t xml:space="preserve"> et al., 2009). Therefore, we expect perceived workplace gender discrimination to negatively relate to psychological </w:t>
      </w:r>
      <w:r w:rsidR="005E0699">
        <w:t xml:space="preserve">health </w:t>
      </w:r>
      <w:r>
        <w:t xml:space="preserve">and </w:t>
      </w:r>
      <w:r w:rsidR="00B76C0F">
        <w:t xml:space="preserve">to </w:t>
      </w:r>
      <w:r>
        <w:t>physical health</w:t>
      </w:r>
      <w:r w:rsidR="005E0699">
        <w:t xml:space="preserve"> outcomes and behaviors</w:t>
      </w:r>
      <w:r>
        <w:t>.</w:t>
      </w:r>
    </w:p>
    <w:p w14:paraId="19C02D65" w14:textId="77777777" w:rsidR="00590ED0" w:rsidRDefault="00897F15" w:rsidP="00394D83">
      <w:pPr>
        <w:widowControl w:val="0"/>
        <w:suppressAutoHyphens w:val="0"/>
        <w:spacing w:line="480" w:lineRule="auto"/>
        <w:ind w:firstLine="720"/>
      </w:pPr>
      <w:r>
        <w:lastRenderedPageBreak/>
        <w:t xml:space="preserve">We also </w:t>
      </w:r>
      <w:r w:rsidR="00990809">
        <w:t xml:space="preserve">expect </w:t>
      </w:r>
      <w:r w:rsidR="008F48A4">
        <w:t>other work</w:t>
      </w:r>
      <w:r w:rsidR="00617388">
        <w:t>-related</w:t>
      </w:r>
      <w:r w:rsidR="00A811E9">
        <w:t xml:space="preserve"> outcomes</w:t>
      </w:r>
      <w:r w:rsidR="003177EC">
        <w:t>,</w:t>
      </w:r>
      <w:r w:rsidR="00A811E9">
        <w:t xml:space="preserve"> including </w:t>
      </w:r>
      <w:r w:rsidR="008F48A4">
        <w:t>those that are job-</w:t>
      </w:r>
      <w:r w:rsidR="00617388">
        <w:t xml:space="preserve">based </w:t>
      </w:r>
      <w:r w:rsidR="008F48A4">
        <w:t xml:space="preserve">(e.g., </w:t>
      </w:r>
      <w:r w:rsidR="00A811E9">
        <w:t>productivity</w:t>
      </w:r>
      <w:r w:rsidR="00F13A04">
        <w:t xml:space="preserve"> and its facets</w:t>
      </w:r>
      <w:r w:rsidR="00A811E9">
        <w:t xml:space="preserve"> </w:t>
      </w:r>
      <w:r w:rsidR="00F13A04">
        <w:t xml:space="preserve">such as </w:t>
      </w:r>
      <w:r w:rsidR="00A811E9">
        <w:t>career success</w:t>
      </w:r>
      <w:r w:rsidR="008F48A4">
        <w:t>)</w:t>
      </w:r>
      <w:r w:rsidR="0031034D">
        <w:t xml:space="preserve"> and </w:t>
      </w:r>
      <w:r w:rsidR="008F48A4">
        <w:t>those that are relationship-</w:t>
      </w:r>
      <w:r w:rsidR="00617388">
        <w:t xml:space="preserve">based </w:t>
      </w:r>
      <w:r w:rsidR="008F48A4">
        <w:t xml:space="preserve">(e.g., </w:t>
      </w:r>
      <w:r w:rsidR="0031034D">
        <w:t>the quality of one’s supervisor-subordinate relationship</w:t>
      </w:r>
      <w:r w:rsidR="008F48A4">
        <w:t>)</w:t>
      </w:r>
      <w:r w:rsidR="003177EC">
        <w:t>,</w:t>
      </w:r>
      <w:r w:rsidR="008D02F5">
        <w:t xml:space="preserve"> </w:t>
      </w:r>
      <w:r w:rsidR="00E70532">
        <w:t>to</w:t>
      </w:r>
      <w:r w:rsidR="008D02F5">
        <w:t xml:space="preserve"> be influenced by perceived gender discrimination</w:t>
      </w:r>
      <w:r w:rsidR="0031034D">
        <w:t xml:space="preserve">. We </w:t>
      </w:r>
      <w:r>
        <w:t xml:space="preserve">anticipate that perceived workplace gender discrimination will negatively relate to </w:t>
      </w:r>
      <w:r w:rsidR="008F48A4">
        <w:t>work</w:t>
      </w:r>
      <w:r>
        <w:t xml:space="preserve"> outcomes</w:t>
      </w:r>
      <w:r w:rsidR="00585EDF">
        <w:t xml:space="preserve"> that are advantageous for an employee’s success in the organization</w:t>
      </w:r>
      <w:r>
        <w:t xml:space="preserve">. </w:t>
      </w:r>
      <w:r w:rsidR="001013D2">
        <w:t>For example, r</w:t>
      </w:r>
      <w:r w:rsidR="00590ED0">
        <w:t xml:space="preserve">esearch shows that perceived </w:t>
      </w:r>
      <w:r w:rsidR="00AD277C">
        <w:t xml:space="preserve">gender </w:t>
      </w:r>
      <w:r w:rsidR="00590ED0">
        <w:t>discrimination is negatively related to</w:t>
      </w:r>
      <w:r w:rsidR="00585EDF">
        <w:t xml:space="preserve"> the </w:t>
      </w:r>
      <w:r w:rsidR="00E36CE7">
        <w:t xml:space="preserve">perceived </w:t>
      </w:r>
      <w:r w:rsidR="00585EDF">
        <w:t>value of one’s career</w:t>
      </w:r>
      <w:r w:rsidR="00590ED0">
        <w:t xml:space="preserve"> (</w:t>
      </w:r>
      <w:r w:rsidR="00585EDF">
        <w:t>Beaton et al., 2014</w:t>
      </w:r>
      <w:r w:rsidR="00590ED0">
        <w:t>)</w:t>
      </w:r>
      <w:r w:rsidR="00E36CE7">
        <w:t>,</w:t>
      </w:r>
      <w:r w:rsidR="001013D2">
        <w:t xml:space="preserve"> a</w:t>
      </w:r>
      <w:r w:rsidR="00A85C8F">
        <w:t>n integral precursor</w:t>
      </w:r>
      <w:r w:rsidR="00E36CE7">
        <w:t xml:space="preserve"> </w:t>
      </w:r>
      <w:r w:rsidR="001013D2">
        <w:t xml:space="preserve">for </w:t>
      </w:r>
      <w:r w:rsidR="00E36CE7">
        <w:t>career</w:t>
      </w:r>
      <w:r w:rsidR="001013D2">
        <w:t xml:space="preserve"> success</w:t>
      </w:r>
      <w:r w:rsidR="00A56AAF">
        <w:t xml:space="preserve">. </w:t>
      </w:r>
      <w:r w:rsidR="001013D2">
        <w:t>In contrast, e</w:t>
      </w:r>
      <w:r w:rsidR="00A56AAF">
        <w:t xml:space="preserve">mpirical findings </w:t>
      </w:r>
      <w:r w:rsidR="004A7279">
        <w:t>show</w:t>
      </w:r>
      <w:r w:rsidR="00477257">
        <w:t xml:space="preserve"> that perceived gender discrimination</w:t>
      </w:r>
      <w:r w:rsidR="00A56AAF">
        <w:t xml:space="preserve"> is</w:t>
      </w:r>
      <w:r w:rsidR="00590ED0">
        <w:t xml:space="preserve"> positively related to conflict with the supervisor (</w:t>
      </w:r>
      <w:proofErr w:type="spellStart"/>
      <w:r w:rsidR="00590ED0">
        <w:t>Jeanquart</w:t>
      </w:r>
      <w:proofErr w:type="spellEnd"/>
      <w:r w:rsidR="00590ED0">
        <w:t>, 1991)</w:t>
      </w:r>
      <w:r w:rsidR="001306A6">
        <w:t xml:space="preserve">, </w:t>
      </w:r>
      <w:r w:rsidR="00590ED0">
        <w:t>job pressure</w:t>
      </w:r>
      <w:r w:rsidR="001306A6">
        <w:t>,</w:t>
      </w:r>
      <w:r w:rsidR="00590ED0">
        <w:t xml:space="preserve"> and job threat (</w:t>
      </w:r>
      <w:proofErr w:type="spellStart"/>
      <w:r w:rsidR="00590ED0">
        <w:t>Rospenda</w:t>
      </w:r>
      <w:proofErr w:type="spellEnd"/>
      <w:r w:rsidR="003C4BD2">
        <w:t xml:space="preserve"> et al.</w:t>
      </w:r>
      <w:r w:rsidR="00590ED0">
        <w:t>, 2009)</w:t>
      </w:r>
      <w:r w:rsidR="00617388">
        <w:t>,</w:t>
      </w:r>
      <w:r w:rsidR="001013D2">
        <w:t xml:space="preserve"> which are </w:t>
      </w:r>
      <w:r w:rsidR="004A7279">
        <w:t xml:space="preserve">all </w:t>
      </w:r>
      <w:r w:rsidR="000E1E37">
        <w:t xml:space="preserve">detrimental </w:t>
      </w:r>
      <w:r w:rsidR="001013D2">
        <w:t>to an employee’s success</w:t>
      </w:r>
      <w:r w:rsidR="00590ED0">
        <w:t xml:space="preserve">. </w:t>
      </w:r>
      <w:bookmarkEnd w:id="2"/>
      <w:bookmarkEnd w:id="3"/>
      <w:r w:rsidR="00D65B93">
        <w:t>T</w:t>
      </w:r>
      <w:r w:rsidR="00590ED0">
        <w:t>he following</w:t>
      </w:r>
      <w:r w:rsidR="00D65B93">
        <w:t xml:space="preserve"> is hypothesized</w:t>
      </w:r>
      <w:r w:rsidR="00590ED0">
        <w:t>:</w:t>
      </w:r>
    </w:p>
    <w:p w14:paraId="41C599A8" w14:textId="311934D8" w:rsidR="00500939" w:rsidRDefault="00403C36" w:rsidP="00A93318">
      <w:pPr>
        <w:widowControl w:val="0"/>
        <w:suppressAutoHyphens w:val="0"/>
        <w:ind w:left="720"/>
        <w:rPr>
          <w:i/>
        </w:rPr>
      </w:pPr>
      <w:r>
        <w:rPr>
          <w:i/>
        </w:rPr>
        <w:t>Hypothesis 1</w:t>
      </w:r>
      <w:r w:rsidRPr="002F6F6F">
        <w:rPr>
          <w:i/>
        </w:rPr>
        <w:t xml:space="preserve">: Perceived </w:t>
      </w:r>
      <w:r w:rsidR="000E4D14">
        <w:rPr>
          <w:i/>
        </w:rPr>
        <w:t>gender</w:t>
      </w:r>
      <w:r w:rsidR="000E4D14" w:rsidRPr="002F6F6F">
        <w:rPr>
          <w:i/>
        </w:rPr>
        <w:t xml:space="preserve"> </w:t>
      </w:r>
      <w:r w:rsidRPr="002F6F6F">
        <w:rPr>
          <w:i/>
        </w:rPr>
        <w:t xml:space="preserve">discrimination at work will be </w:t>
      </w:r>
      <w:r>
        <w:rPr>
          <w:i/>
        </w:rPr>
        <w:t>negatively</w:t>
      </w:r>
      <w:r w:rsidR="00A93318">
        <w:rPr>
          <w:i/>
        </w:rPr>
        <w:t xml:space="preserve"> related to </w:t>
      </w:r>
      <w:r>
        <w:rPr>
          <w:i/>
        </w:rPr>
        <w:t>employees’ job attitudes, psychol</w:t>
      </w:r>
      <w:r w:rsidR="006545B0">
        <w:rPr>
          <w:i/>
        </w:rPr>
        <w:t>ogical health, physical health</w:t>
      </w:r>
      <w:r w:rsidR="005E0699">
        <w:rPr>
          <w:i/>
        </w:rPr>
        <w:t xml:space="preserve"> outcomes and behaviors</w:t>
      </w:r>
      <w:r w:rsidR="006545B0">
        <w:rPr>
          <w:i/>
        </w:rPr>
        <w:t>,</w:t>
      </w:r>
      <w:r w:rsidR="00AD277C">
        <w:rPr>
          <w:i/>
        </w:rPr>
        <w:t xml:space="preserve"> </w:t>
      </w:r>
      <w:r>
        <w:rPr>
          <w:i/>
        </w:rPr>
        <w:t xml:space="preserve">and </w:t>
      </w:r>
      <w:r w:rsidR="001237E4">
        <w:rPr>
          <w:i/>
        </w:rPr>
        <w:t>work</w:t>
      </w:r>
      <w:r w:rsidR="00F66697">
        <w:rPr>
          <w:i/>
        </w:rPr>
        <w:t>-related</w:t>
      </w:r>
      <w:r w:rsidR="00F320DE">
        <w:rPr>
          <w:i/>
        </w:rPr>
        <w:t xml:space="preserve"> </w:t>
      </w:r>
      <w:r w:rsidR="004D2AB6">
        <w:rPr>
          <w:i/>
        </w:rPr>
        <w:t>(</w:t>
      </w:r>
      <w:r w:rsidR="00FB72AE">
        <w:rPr>
          <w:i/>
        </w:rPr>
        <w:t>job-based and relationship-based</w:t>
      </w:r>
      <w:r w:rsidR="004D2AB6">
        <w:rPr>
          <w:i/>
        </w:rPr>
        <w:t>)</w:t>
      </w:r>
      <w:r w:rsidR="00FB72AE">
        <w:rPr>
          <w:i/>
        </w:rPr>
        <w:t xml:space="preserve"> </w:t>
      </w:r>
      <w:r>
        <w:rPr>
          <w:i/>
        </w:rPr>
        <w:t>outcomes</w:t>
      </w:r>
      <w:r w:rsidRPr="002F6F6F">
        <w:rPr>
          <w:i/>
        </w:rPr>
        <w:t>.</w:t>
      </w:r>
    </w:p>
    <w:p w14:paraId="54A4937A" w14:textId="77777777" w:rsidR="005F00BD" w:rsidRDefault="00403C36" w:rsidP="00394D83">
      <w:pPr>
        <w:widowControl w:val="0"/>
        <w:suppressAutoHyphens w:val="0"/>
        <w:ind w:left="720" w:hanging="720"/>
        <w:rPr>
          <w:b/>
        </w:rPr>
      </w:pPr>
      <w:r w:rsidRPr="002F6F6F">
        <w:rPr>
          <w:i/>
        </w:rPr>
        <w:t xml:space="preserve"> </w:t>
      </w:r>
    </w:p>
    <w:p w14:paraId="48BA9A2B" w14:textId="77777777" w:rsidR="005E566A" w:rsidRDefault="00E15082" w:rsidP="00394D83">
      <w:pPr>
        <w:widowControl w:val="0"/>
        <w:suppressAutoHyphens w:val="0"/>
        <w:spacing w:line="480" w:lineRule="auto"/>
      </w:pPr>
      <w:r>
        <w:rPr>
          <w:b/>
        </w:rPr>
        <w:t xml:space="preserve">The </w:t>
      </w:r>
      <w:r w:rsidR="00A3658C">
        <w:rPr>
          <w:b/>
        </w:rPr>
        <w:t xml:space="preserve">Moderating </w:t>
      </w:r>
      <w:r>
        <w:rPr>
          <w:b/>
        </w:rPr>
        <w:t>Role</w:t>
      </w:r>
      <w:r w:rsidR="00E70532">
        <w:rPr>
          <w:b/>
        </w:rPr>
        <w:t>s</w:t>
      </w:r>
      <w:r>
        <w:rPr>
          <w:b/>
        </w:rPr>
        <w:t xml:space="preserve"> of </w:t>
      </w:r>
      <w:r w:rsidR="00420150">
        <w:rPr>
          <w:b/>
        </w:rPr>
        <w:t xml:space="preserve">National </w:t>
      </w:r>
      <w:r w:rsidR="008003CB">
        <w:rPr>
          <w:b/>
        </w:rPr>
        <w:t>Labor Polic</w:t>
      </w:r>
      <w:r>
        <w:rPr>
          <w:b/>
        </w:rPr>
        <w:t>y</w:t>
      </w:r>
      <w:r w:rsidR="00617388">
        <w:rPr>
          <w:b/>
        </w:rPr>
        <w:t xml:space="preserve"> and </w:t>
      </w:r>
      <w:r w:rsidR="00C04532">
        <w:rPr>
          <w:b/>
        </w:rPr>
        <w:t>Practice</w:t>
      </w:r>
      <w:r w:rsidR="00DF0041">
        <w:rPr>
          <w:b/>
        </w:rPr>
        <w:t>,</w:t>
      </w:r>
      <w:r>
        <w:rPr>
          <w:b/>
        </w:rPr>
        <w:t xml:space="preserve"> and</w:t>
      </w:r>
      <w:r w:rsidR="008003CB">
        <w:rPr>
          <w:b/>
        </w:rPr>
        <w:t xml:space="preserve"> </w:t>
      </w:r>
      <w:r>
        <w:rPr>
          <w:b/>
        </w:rPr>
        <w:t xml:space="preserve">National </w:t>
      </w:r>
      <w:r w:rsidR="00897F15">
        <w:rPr>
          <w:b/>
        </w:rPr>
        <w:t>Cultur</w:t>
      </w:r>
      <w:r>
        <w:rPr>
          <w:b/>
        </w:rPr>
        <w:t xml:space="preserve">e </w:t>
      </w:r>
    </w:p>
    <w:p w14:paraId="39B93E36" w14:textId="7D031D37" w:rsidR="00327ECA" w:rsidRDefault="00C0780C" w:rsidP="00394D83">
      <w:pPr>
        <w:widowControl w:val="0"/>
        <w:suppressAutoHyphens w:val="0"/>
        <w:spacing w:line="480" w:lineRule="auto"/>
        <w:ind w:firstLine="720"/>
      </w:pPr>
      <w:r>
        <w:t>Crosby (1976) stated</w:t>
      </w:r>
      <w:r w:rsidR="008964D3">
        <w:t xml:space="preserve"> that the five preconditions of relative deprivation are influenced by personality traits, past experiences</w:t>
      </w:r>
      <w:r w:rsidR="00E95F89">
        <w:t xml:space="preserve"> </w:t>
      </w:r>
      <w:r w:rsidR="009E381A">
        <w:t>with</w:t>
      </w:r>
      <w:r w:rsidR="008964D3">
        <w:t xml:space="preserve"> the accessibility of opportunities</w:t>
      </w:r>
      <w:r w:rsidR="00E95F89">
        <w:t>,</w:t>
      </w:r>
      <w:r w:rsidR="008964D3">
        <w:t xml:space="preserve"> </w:t>
      </w:r>
      <w:r w:rsidR="00CF2AA1">
        <w:t xml:space="preserve">the </w:t>
      </w:r>
      <w:r w:rsidR="008964D3">
        <w:t xml:space="preserve">proportion of peers being granted similar opportunities, the significance of the opportunity for survival, and the </w:t>
      </w:r>
      <w:r w:rsidR="00C04532">
        <w:t xml:space="preserve">societal </w:t>
      </w:r>
      <w:r w:rsidR="008964D3">
        <w:t>dictates</w:t>
      </w:r>
      <w:r w:rsidR="00E95F89">
        <w:t xml:space="preserve"> </w:t>
      </w:r>
      <w:r w:rsidR="008964D3">
        <w:t xml:space="preserve">and norms </w:t>
      </w:r>
      <w:r w:rsidR="00480039">
        <w:t>relating to</w:t>
      </w:r>
      <w:r w:rsidR="008964D3">
        <w:t xml:space="preserve"> the desirability </w:t>
      </w:r>
      <w:r w:rsidR="00E57852">
        <w:t xml:space="preserve">and </w:t>
      </w:r>
      <w:r w:rsidR="008964D3">
        <w:t xml:space="preserve">accessibility </w:t>
      </w:r>
      <w:r w:rsidR="00E95F89">
        <w:t xml:space="preserve">of </w:t>
      </w:r>
      <w:r w:rsidR="008964D3">
        <w:t>similar opportunities.</w:t>
      </w:r>
      <w:r w:rsidRPr="00771350">
        <w:t xml:space="preserve"> </w:t>
      </w:r>
      <w:r w:rsidR="00656377">
        <w:t xml:space="preserve">Crosby (1976) </w:t>
      </w:r>
      <w:r w:rsidR="00E95F89">
        <w:t>identified</w:t>
      </w:r>
      <w:r w:rsidR="00DC5946">
        <w:t xml:space="preserve"> societal dictates</w:t>
      </w:r>
      <w:r w:rsidR="00F97FBA">
        <w:t xml:space="preserve"> and norms</w:t>
      </w:r>
      <w:r w:rsidR="00DC5946">
        <w:t xml:space="preserve"> as </w:t>
      </w:r>
      <w:r w:rsidR="00656377">
        <w:t xml:space="preserve">a factor </w:t>
      </w:r>
      <w:r w:rsidR="00E166AC">
        <w:t xml:space="preserve">directly </w:t>
      </w:r>
      <w:r w:rsidR="00656377">
        <w:t>influencing</w:t>
      </w:r>
      <w:r w:rsidR="001E1006">
        <w:t xml:space="preserve"> </w:t>
      </w:r>
      <w:r w:rsidR="007120AB">
        <w:t>all</w:t>
      </w:r>
      <w:r w:rsidR="00E166AC">
        <w:t xml:space="preserve"> </w:t>
      </w:r>
      <w:r w:rsidR="001E1006">
        <w:t>the preconditions for</w:t>
      </w:r>
      <w:r w:rsidR="00656377">
        <w:t xml:space="preserve"> f</w:t>
      </w:r>
      <w:r w:rsidR="00DC5946">
        <w:t>eeling</w:t>
      </w:r>
      <w:r w:rsidR="00751461">
        <w:t xml:space="preserve"> deprived</w:t>
      </w:r>
      <w:r w:rsidR="00656377">
        <w:t xml:space="preserve">. </w:t>
      </w:r>
      <w:r w:rsidR="00741444">
        <w:t>Individuals are generally deferential to rules, norms, standards, and other dictates issued by authoritative institutions (e.g., government, society) (Crosby, 1976).</w:t>
      </w:r>
      <w:r w:rsidR="0043118D">
        <w:t xml:space="preserve"> </w:t>
      </w:r>
      <w:r w:rsidR="00751461">
        <w:t>T</w:t>
      </w:r>
      <w:r w:rsidR="00656377">
        <w:t>hese societal dictates</w:t>
      </w:r>
      <w:r w:rsidR="00F97FBA">
        <w:t xml:space="preserve"> and norms</w:t>
      </w:r>
      <w:r w:rsidR="00656377">
        <w:t xml:space="preserve"> are </w:t>
      </w:r>
      <w:r w:rsidR="00751461">
        <w:t>shared expectations</w:t>
      </w:r>
      <w:r w:rsidR="00F97FBA">
        <w:t>, either explicit or implicit,</w:t>
      </w:r>
      <w:r w:rsidR="00751461">
        <w:t xml:space="preserve"> </w:t>
      </w:r>
      <w:r w:rsidR="00645B66">
        <w:t>about</w:t>
      </w:r>
      <w:r w:rsidR="00751461">
        <w:t xml:space="preserve"> fair treatment and access to opportunities espoused in </w:t>
      </w:r>
      <w:r w:rsidR="00CE7281">
        <w:t>the broader environment</w:t>
      </w:r>
      <w:r w:rsidR="00645B66">
        <w:t xml:space="preserve">. </w:t>
      </w:r>
      <w:r w:rsidR="00741444">
        <w:t>In an employment context, t</w:t>
      </w:r>
      <w:r w:rsidR="00E6308A">
        <w:t xml:space="preserve">hese dictates </w:t>
      </w:r>
      <w:r w:rsidR="00B050A7">
        <w:t>may</w:t>
      </w:r>
      <w:r w:rsidR="00E6308A">
        <w:t xml:space="preserve"> be explicit laws </w:t>
      </w:r>
      <w:r w:rsidR="00645B66">
        <w:t>or</w:t>
      </w:r>
      <w:r w:rsidR="00E6308A">
        <w:t xml:space="preserve"> implicit cultural practices that </w:t>
      </w:r>
      <w:r w:rsidR="00E6308A">
        <w:lastRenderedPageBreak/>
        <w:t>identify a particular social group as the beneficiary of fair (or even preferential) treatment</w:t>
      </w:r>
      <w:r w:rsidR="00617388">
        <w:t>,</w:t>
      </w:r>
      <w:r w:rsidR="00E6308A">
        <w:t xml:space="preserve"> </w:t>
      </w:r>
      <w:r w:rsidR="00645B66">
        <w:t>or result in</w:t>
      </w:r>
      <w:r w:rsidR="00B050A7">
        <w:t xml:space="preserve"> advantageous outcomes for one group relative to others</w:t>
      </w:r>
      <w:r w:rsidR="004A7AAA">
        <w:t xml:space="preserve">. </w:t>
      </w:r>
    </w:p>
    <w:p w14:paraId="12946840" w14:textId="77777777" w:rsidR="006C100E" w:rsidRDefault="008B6128" w:rsidP="00394D83">
      <w:pPr>
        <w:widowControl w:val="0"/>
        <w:suppressAutoHyphens w:val="0"/>
        <w:spacing w:line="480" w:lineRule="auto"/>
        <w:ind w:firstLine="720"/>
      </w:pPr>
      <w:r w:rsidRPr="00CC1C7D">
        <w:rPr>
          <w:b/>
        </w:rPr>
        <w:t>National differences in labor policies</w:t>
      </w:r>
      <w:r w:rsidR="00617388">
        <w:rPr>
          <w:b/>
        </w:rPr>
        <w:t xml:space="preserve"> and </w:t>
      </w:r>
      <w:r w:rsidR="00405ED5">
        <w:rPr>
          <w:b/>
        </w:rPr>
        <w:t>practices</w:t>
      </w:r>
      <w:r>
        <w:t xml:space="preserve">. </w:t>
      </w:r>
      <w:r w:rsidR="009073E8">
        <w:t xml:space="preserve">Comparing gender discrimination </w:t>
      </w:r>
      <w:r w:rsidR="007B3FF6">
        <w:t xml:space="preserve">laws </w:t>
      </w:r>
      <w:r w:rsidR="009073E8">
        <w:t xml:space="preserve">in the </w:t>
      </w:r>
      <w:r w:rsidR="001D2BDA">
        <w:t xml:space="preserve">U.S., </w:t>
      </w:r>
      <w:r w:rsidR="009073E8">
        <w:t xml:space="preserve">Hong Kong, and China, </w:t>
      </w:r>
      <w:r w:rsidR="00E17BD7">
        <w:t xml:space="preserve">Shaffer et al. (2000) theorized that </w:t>
      </w:r>
      <w:r w:rsidR="009073E8">
        <w:t xml:space="preserve">due to the </w:t>
      </w:r>
      <w:r w:rsidR="006C28BF">
        <w:t xml:space="preserve">U.S.’s </w:t>
      </w:r>
      <w:r w:rsidR="009073E8">
        <w:t xml:space="preserve">more stable and actively enforced </w:t>
      </w:r>
      <w:r w:rsidR="0093537C">
        <w:t xml:space="preserve">labor </w:t>
      </w:r>
      <w:r w:rsidR="009073E8">
        <w:t>legislation</w:t>
      </w:r>
      <w:r w:rsidR="001D2BDA">
        <w:t>,</w:t>
      </w:r>
      <w:r w:rsidR="006C28BF">
        <w:t xml:space="preserve"> </w:t>
      </w:r>
      <w:r w:rsidR="007B3FF6">
        <w:t>its</w:t>
      </w:r>
      <w:r w:rsidR="001D2BDA">
        <w:t xml:space="preserve"> </w:t>
      </w:r>
      <w:r w:rsidR="005E0BC3">
        <w:t>employees</w:t>
      </w:r>
      <w:r w:rsidR="009073E8">
        <w:t xml:space="preserve"> experience less gender discrimination </w:t>
      </w:r>
      <w:r w:rsidR="00480039">
        <w:t xml:space="preserve">than </w:t>
      </w:r>
      <w:r w:rsidR="009073E8">
        <w:t xml:space="preserve">those in Hong Kong or China. </w:t>
      </w:r>
      <w:r w:rsidR="00CB61CB">
        <w:t xml:space="preserve">The authors found no evidence </w:t>
      </w:r>
      <w:r w:rsidR="006760B4">
        <w:t xml:space="preserve">in support of their prediction; however, </w:t>
      </w:r>
      <w:r w:rsidR="00CB61CB">
        <w:t xml:space="preserve">they did find that gender discrimination resulted in </w:t>
      </w:r>
      <w:r w:rsidR="00025432">
        <w:t>lower</w:t>
      </w:r>
      <w:r w:rsidR="00CB61CB">
        <w:t xml:space="preserve"> commitment among U.S. </w:t>
      </w:r>
      <w:r w:rsidR="005E0BC3">
        <w:t xml:space="preserve">employees </w:t>
      </w:r>
      <w:r w:rsidR="00CB61CB">
        <w:t xml:space="preserve">compared to </w:t>
      </w:r>
      <w:r w:rsidR="0074164D">
        <w:t xml:space="preserve">those in </w:t>
      </w:r>
      <w:r w:rsidR="00CB61CB">
        <w:t xml:space="preserve">Hong Kong and </w:t>
      </w:r>
      <w:r w:rsidR="006760B4">
        <w:t>Chin</w:t>
      </w:r>
      <w:r w:rsidR="0074164D">
        <w:t>a</w:t>
      </w:r>
      <w:r w:rsidR="00CB61CB">
        <w:t xml:space="preserve">. </w:t>
      </w:r>
      <w:r w:rsidR="00990E92">
        <w:t xml:space="preserve">This </w:t>
      </w:r>
      <w:r w:rsidR="00775E98">
        <w:t>nuance</w:t>
      </w:r>
      <w:r w:rsidR="006760B4">
        <w:t xml:space="preserve"> </w:t>
      </w:r>
      <w:r w:rsidR="00990E92">
        <w:t>implies that</w:t>
      </w:r>
      <w:r w:rsidR="00210B14">
        <w:t xml:space="preserve"> al</w:t>
      </w:r>
      <w:r w:rsidR="006C100E">
        <w:t>though</w:t>
      </w:r>
      <w:r w:rsidR="00990E92">
        <w:t xml:space="preserve"> </w:t>
      </w:r>
      <w:r w:rsidR="006760B4">
        <w:t xml:space="preserve">there is </w:t>
      </w:r>
      <w:r w:rsidR="002A6C3A">
        <w:t>little</w:t>
      </w:r>
      <w:r w:rsidR="006760B4">
        <w:t xml:space="preserve"> difference in </w:t>
      </w:r>
      <w:r w:rsidR="00990E92">
        <w:t xml:space="preserve">the </w:t>
      </w:r>
      <w:r w:rsidR="006C100E">
        <w:t>amount of</w:t>
      </w:r>
      <w:r w:rsidR="00990E92">
        <w:t xml:space="preserve"> gender discrimination </w:t>
      </w:r>
      <w:r w:rsidR="006C100E">
        <w:t>experienced</w:t>
      </w:r>
      <w:r w:rsidR="00990E92">
        <w:t xml:space="preserve"> across </w:t>
      </w:r>
      <w:r w:rsidR="006C100E">
        <w:t>countries, there may be variation across countries in the intensity of employee reactions to perceived gender discrimination</w:t>
      </w:r>
      <w:r w:rsidR="0074164D">
        <w:t>,</w:t>
      </w:r>
      <w:r w:rsidR="007427C2">
        <w:t xml:space="preserve"> </w:t>
      </w:r>
      <w:r w:rsidR="00532BD8">
        <w:t>depend</w:t>
      </w:r>
      <w:r w:rsidR="0074164D">
        <w:t>ing</w:t>
      </w:r>
      <w:r w:rsidR="006760B4">
        <w:t xml:space="preserve"> </w:t>
      </w:r>
      <w:r w:rsidR="00532BD8">
        <w:t>on</w:t>
      </w:r>
      <w:r w:rsidR="007427C2">
        <w:t xml:space="preserve"> the integration of gender equity in labor </w:t>
      </w:r>
      <w:r w:rsidR="0074164D">
        <w:t>laws</w:t>
      </w:r>
      <w:r w:rsidR="006C100E">
        <w:t xml:space="preserve">. </w:t>
      </w:r>
    </w:p>
    <w:p w14:paraId="62700F6D" w14:textId="77777777" w:rsidR="008B2DEB" w:rsidRDefault="00CB61CB" w:rsidP="00394D83">
      <w:pPr>
        <w:widowControl w:val="0"/>
        <w:suppressAutoHyphens w:val="0"/>
        <w:spacing w:line="480" w:lineRule="auto"/>
        <w:ind w:firstLine="720"/>
      </w:pPr>
      <w:r>
        <w:t>T</w:t>
      </w:r>
      <w:r w:rsidR="007F1892">
        <w:t xml:space="preserve">he </w:t>
      </w:r>
      <w:r w:rsidR="001D2BDA">
        <w:t xml:space="preserve">U.S. </w:t>
      </w:r>
      <w:r w:rsidR="007F1892">
        <w:t>is ranked 14</w:t>
      </w:r>
      <w:r w:rsidR="007F1892" w:rsidRPr="00F11352">
        <w:rPr>
          <w:vertAlign w:val="superscript"/>
        </w:rPr>
        <w:t>th</w:t>
      </w:r>
      <w:r w:rsidR="007F1892">
        <w:t xml:space="preserve"> in the integration </w:t>
      </w:r>
      <w:r w:rsidR="005E0BC3">
        <w:t xml:space="preserve">of labor policies </w:t>
      </w:r>
      <w:r w:rsidR="007F1892">
        <w:t xml:space="preserve">and enforcement of labor </w:t>
      </w:r>
      <w:r w:rsidR="005E0BC3">
        <w:t xml:space="preserve">practices </w:t>
      </w:r>
      <w:r w:rsidR="007F1892">
        <w:t>that promote gender equality</w:t>
      </w:r>
      <w:r w:rsidR="008B58CA">
        <w:t xml:space="preserve"> in economic opportunities</w:t>
      </w:r>
      <w:r w:rsidR="005E0BC3">
        <w:t>,</w:t>
      </w:r>
      <w:r w:rsidR="007F1892">
        <w:t xml:space="preserve"> </w:t>
      </w:r>
      <w:r>
        <w:t>while Hong Kong and China are tied for 22</w:t>
      </w:r>
      <w:r w:rsidRPr="00CB61CB">
        <w:rPr>
          <w:vertAlign w:val="superscript"/>
        </w:rPr>
        <w:t>nd</w:t>
      </w:r>
      <w:r>
        <w:t xml:space="preserve"> place </w:t>
      </w:r>
      <w:r w:rsidR="007F1892">
        <w:t xml:space="preserve">(Economist Intelligence Unit, 2012). </w:t>
      </w:r>
      <w:r w:rsidR="002766A9">
        <w:t>C</w:t>
      </w:r>
      <w:r w:rsidR="0093537C">
        <w:t>ountries</w:t>
      </w:r>
      <w:r w:rsidR="004C0366">
        <w:t xml:space="preserve"> with more gender-sensitive and robust labor policies</w:t>
      </w:r>
      <w:r w:rsidR="002766A9">
        <w:t xml:space="preserve"> than the U.S.</w:t>
      </w:r>
      <w:r w:rsidR="004C0366">
        <w:t>,</w:t>
      </w:r>
      <w:r w:rsidR="0093537C">
        <w:t xml:space="preserve"> such as </w:t>
      </w:r>
      <w:r w:rsidR="007F1892">
        <w:t>Sweden</w:t>
      </w:r>
      <w:r w:rsidR="00FB0C3A">
        <w:t>,</w:t>
      </w:r>
      <w:r w:rsidR="007F1892">
        <w:t xml:space="preserve"> </w:t>
      </w:r>
      <w:r w:rsidR="0093537C">
        <w:t xml:space="preserve">Norway, </w:t>
      </w:r>
      <w:r w:rsidR="00FB0C3A">
        <w:t>Finland</w:t>
      </w:r>
      <w:r w:rsidR="0093537C">
        <w:t>,</w:t>
      </w:r>
      <w:r w:rsidR="00FB0C3A">
        <w:t xml:space="preserve"> Belgium, and Australia</w:t>
      </w:r>
      <w:r w:rsidR="00227FAB">
        <w:t>,</w:t>
      </w:r>
      <w:r w:rsidR="0093537C">
        <w:t xml:space="preserve"> </w:t>
      </w:r>
      <w:r w:rsidR="002766A9">
        <w:t xml:space="preserve">have gone much further in their pursuit of gender equality by </w:t>
      </w:r>
      <w:r w:rsidR="00FB0C3A">
        <w:t>provid</w:t>
      </w:r>
      <w:r w:rsidR="002766A9">
        <w:t>ing</w:t>
      </w:r>
      <w:r w:rsidR="00FB0C3A">
        <w:t xml:space="preserve"> paid parental leave </w:t>
      </w:r>
      <w:r w:rsidR="008B1916">
        <w:t>and</w:t>
      </w:r>
      <w:r w:rsidR="00FB0C3A">
        <w:t xml:space="preserve"> government-sponsored high-quality child care</w:t>
      </w:r>
      <w:r w:rsidR="001515D2">
        <w:t xml:space="preserve"> and</w:t>
      </w:r>
      <w:r w:rsidR="00FB0C3A">
        <w:t xml:space="preserve"> maternity</w:t>
      </w:r>
      <w:r w:rsidR="001515D2">
        <w:t xml:space="preserve"> benefits</w:t>
      </w:r>
      <w:r w:rsidR="00BC3B4C">
        <w:t xml:space="preserve">. Australian parents, </w:t>
      </w:r>
      <w:r w:rsidR="002766A9">
        <w:t>for example</w:t>
      </w:r>
      <w:r w:rsidR="00BC3B4C">
        <w:t xml:space="preserve">, may receive up to 18 weeks of paid leave at minimum wage (Economist Intelligence Unit, 2012), whereas in the U.S. there are no federal laws mandating paid parental leave or </w:t>
      </w:r>
      <w:r w:rsidR="002766A9">
        <w:t>other maternity benefits</w:t>
      </w:r>
      <w:r w:rsidR="00FB0C3A">
        <w:t>.</w:t>
      </w:r>
      <w:r w:rsidR="009073E8">
        <w:t xml:space="preserve"> </w:t>
      </w:r>
      <w:r w:rsidR="008B2DEB">
        <w:t xml:space="preserve">These countries have </w:t>
      </w:r>
      <w:r w:rsidR="00BC3B4C">
        <w:t xml:space="preserve">also </w:t>
      </w:r>
      <w:r w:rsidR="00053CE0">
        <w:t xml:space="preserve">prioritized the protection of gender equality by </w:t>
      </w:r>
      <w:r w:rsidR="008B2DEB">
        <w:t>ratif</w:t>
      </w:r>
      <w:r w:rsidR="00053CE0">
        <w:t>ying</w:t>
      </w:r>
      <w:r w:rsidR="008B2DEB">
        <w:t xml:space="preserve"> the United Nations Convention on the Elimination of all Forms of Discrimination Against Women </w:t>
      </w:r>
      <w:r w:rsidR="00053CE0">
        <w:t>(</w:t>
      </w:r>
      <w:r w:rsidR="004E3CF9">
        <w:t>United Nations Women, 2017</w:t>
      </w:r>
      <w:r w:rsidR="00053CE0">
        <w:t xml:space="preserve">) </w:t>
      </w:r>
      <w:r w:rsidR="00F12C3B">
        <w:t>while the U.S. has not</w:t>
      </w:r>
      <w:r w:rsidR="008B2DEB">
        <w:t xml:space="preserve">. </w:t>
      </w:r>
    </w:p>
    <w:p w14:paraId="000CC0F0" w14:textId="77777777" w:rsidR="00382666" w:rsidRDefault="003366B2" w:rsidP="00394D83">
      <w:pPr>
        <w:widowControl w:val="0"/>
        <w:suppressAutoHyphens w:val="0"/>
        <w:spacing w:line="480" w:lineRule="auto"/>
        <w:ind w:firstLine="720"/>
      </w:pPr>
      <w:r>
        <w:t xml:space="preserve">As an example of societal dictates in Crosby’s (1976) model of relative deprivation, laws </w:t>
      </w:r>
      <w:r>
        <w:lastRenderedPageBreak/>
        <w:t xml:space="preserve">can shape expectations </w:t>
      </w:r>
      <w:r w:rsidR="00E70532">
        <w:t>regarding</w:t>
      </w:r>
      <w:r>
        <w:t xml:space="preserve"> what treatment is considered fair and acceptable. For </w:t>
      </w:r>
      <w:r w:rsidR="009B5B68">
        <w:t>instance</w:t>
      </w:r>
      <w:r>
        <w:t xml:space="preserve">, Beaton and </w:t>
      </w:r>
      <w:proofErr w:type="spellStart"/>
      <w:r>
        <w:t>Tougas</w:t>
      </w:r>
      <w:proofErr w:type="spellEnd"/>
      <w:r>
        <w:t xml:space="preserve"> (1997) </w:t>
      </w:r>
      <w:r w:rsidR="009B5B68">
        <w:t>found</w:t>
      </w:r>
      <w:r>
        <w:t xml:space="preserve"> that women felt more entitled to jobs traditionally held by </w:t>
      </w:r>
      <w:r w:rsidR="00997FEB">
        <w:t>W</w:t>
      </w:r>
      <w:r>
        <w:t xml:space="preserve">hite men following the introduction of equal employment policies in Canada. </w:t>
      </w:r>
      <w:r w:rsidR="000E4E77">
        <w:t>I</w:t>
      </w:r>
      <w:r w:rsidR="008B2DEB">
        <w:t>n countries such as Sweden and Norway</w:t>
      </w:r>
      <w:r w:rsidR="00AD6B79">
        <w:t>,</w:t>
      </w:r>
      <w:r w:rsidR="00A20731">
        <w:t xml:space="preserve"> where gender equ</w:t>
      </w:r>
      <w:r w:rsidR="00813448">
        <w:t>alit</w:t>
      </w:r>
      <w:r w:rsidR="00A20731">
        <w:t xml:space="preserve">y is more broadly integrated into labor </w:t>
      </w:r>
      <w:r w:rsidR="00BB6C57">
        <w:t xml:space="preserve">policies </w:t>
      </w:r>
      <w:r w:rsidR="00A20731">
        <w:t xml:space="preserve">and </w:t>
      </w:r>
      <w:r w:rsidR="00436781">
        <w:t xml:space="preserve">more rigorously enforced in </w:t>
      </w:r>
      <w:r w:rsidR="005E0BC3">
        <w:t xml:space="preserve">labor practices </w:t>
      </w:r>
      <w:r w:rsidR="00436781">
        <w:t>than in</w:t>
      </w:r>
      <w:r w:rsidR="00A20731">
        <w:t xml:space="preserve"> </w:t>
      </w:r>
      <w:r w:rsidR="005E0277">
        <w:t>other countries</w:t>
      </w:r>
      <w:r w:rsidR="001D2BDA">
        <w:t xml:space="preserve">, </w:t>
      </w:r>
      <w:r w:rsidR="005E0BC3">
        <w:t xml:space="preserve">employees’ </w:t>
      </w:r>
      <w:r w:rsidR="009073E8">
        <w:t xml:space="preserve">expectations of fair </w:t>
      </w:r>
      <w:r w:rsidR="00051400">
        <w:t xml:space="preserve">and equal </w:t>
      </w:r>
      <w:r w:rsidR="009073E8">
        <w:t xml:space="preserve">treatment </w:t>
      </w:r>
      <w:r w:rsidR="00436781">
        <w:t>are</w:t>
      </w:r>
      <w:r w:rsidR="009073E8">
        <w:t xml:space="preserve"> higher and their </w:t>
      </w:r>
      <w:r w:rsidR="00711522">
        <w:t>reactions to</w:t>
      </w:r>
      <w:r w:rsidR="009073E8">
        <w:t xml:space="preserve"> gender discrimination </w:t>
      </w:r>
      <w:r w:rsidR="00436781">
        <w:t>are</w:t>
      </w:r>
      <w:r w:rsidR="00AD6B79">
        <w:t xml:space="preserve"> </w:t>
      </w:r>
      <w:r w:rsidR="00711522">
        <w:t xml:space="preserve">stronger </w:t>
      </w:r>
      <w:r w:rsidR="008B2DEB">
        <w:t xml:space="preserve">than in </w:t>
      </w:r>
      <w:r w:rsidR="005E0277">
        <w:t>other countries</w:t>
      </w:r>
      <w:r w:rsidR="0069482B">
        <w:t xml:space="preserve">. </w:t>
      </w:r>
      <w:r w:rsidR="003E2C0F">
        <w:t>Therefore</w:t>
      </w:r>
      <w:r w:rsidR="009073E8">
        <w:t xml:space="preserve">, </w:t>
      </w:r>
      <w:r w:rsidR="00480039">
        <w:t xml:space="preserve">the </w:t>
      </w:r>
      <w:r w:rsidR="00436781">
        <w:t xml:space="preserve">impact of </w:t>
      </w:r>
      <w:r w:rsidR="009B5B68">
        <w:t xml:space="preserve">gender discrimination </w:t>
      </w:r>
      <w:r w:rsidR="00480039">
        <w:t xml:space="preserve">on </w:t>
      </w:r>
      <w:r w:rsidR="00BB6C57">
        <w:t>employee</w:t>
      </w:r>
      <w:r w:rsidR="009073E8">
        <w:t xml:space="preserve"> </w:t>
      </w:r>
      <w:r w:rsidR="004E3042">
        <w:t>outcomes</w:t>
      </w:r>
      <w:r w:rsidR="009073E8">
        <w:t xml:space="preserve"> </w:t>
      </w:r>
      <w:r w:rsidR="00E85938">
        <w:t xml:space="preserve">is </w:t>
      </w:r>
      <w:r w:rsidR="003E2C0F">
        <w:t>intens</w:t>
      </w:r>
      <w:r w:rsidR="005E0BC3">
        <w:t>if</w:t>
      </w:r>
      <w:r w:rsidR="00E85938">
        <w:t>ied in such countries</w:t>
      </w:r>
      <w:r w:rsidR="001D314E">
        <w:t xml:space="preserve">. </w:t>
      </w:r>
      <w:r w:rsidR="00436781">
        <w:t>P</w:t>
      </w:r>
      <w:r w:rsidR="00E85938">
        <w:t>eople come to expect</w:t>
      </w:r>
      <w:r w:rsidR="00167688">
        <w:t xml:space="preserve"> more recourse </w:t>
      </w:r>
      <w:r w:rsidR="00382666">
        <w:t>for</w:t>
      </w:r>
      <w:r w:rsidR="00167688">
        <w:t xml:space="preserve"> violat</w:t>
      </w:r>
      <w:r w:rsidR="00382666">
        <w:t>ion of laws</w:t>
      </w:r>
      <w:r w:rsidR="00167688">
        <w:t xml:space="preserve"> a</w:t>
      </w:r>
      <w:r w:rsidR="00E85938">
        <w:t xml:space="preserve">nd </w:t>
      </w:r>
      <w:r w:rsidR="00167688">
        <w:t xml:space="preserve">feel more </w:t>
      </w:r>
      <w:r w:rsidR="00E85938">
        <w:t>entitle</w:t>
      </w:r>
      <w:r w:rsidR="00167688">
        <w:t>d</w:t>
      </w:r>
      <w:r w:rsidR="00E85938">
        <w:t xml:space="preserve"> </w:t>
      </w:r>
      <w:r w:rsidR="00167688">
        <w:t xml:space="preserve">to fair treatment when the laws are strong and rigorously enforced. </w:t>
      </w:r>
    </w:p>
    <w:p w14:paraId="04525FBA" w14:textId="468D50F2" w:rsidR="00C0780C" w:rsidRDefault="00962E2E" w:rsidP="00394D83">
      <w:pPr>
        <w:widowControl w:val="0"/>
        <w:suppressAutoHyphens w:val="0"/>
        <w:spacing w:line="480" w:lineRule="auto"/>
        <w:ind w:firstLine="720"/>
      </w:pPr>
      <w:r>
        <w:t>To the contrary</w:t>
      </w:r>
      <w:r w:rsidR="00167688">
        <w:t xml:space="preserve">, if </w:t>
      </w:r>
      <w:r w:rsidR="000F29CB">
        <w:t>laws</w:t>
      </w:r>
      <w:r w:rsidR="00167688">
        <w:t xml:space="preserve"> </w:t>
      </w:r>
      <w:r w:rsidR="000F29CB">
        <w:t>only</w:t>
      </w:r>
      <w:r w:rsidR="00167688">
        <w:t xml:space="preserve"> weakly and inconsistently signal fairness, then people will develop low expectations and, therefore, higher tolerance of unfair treatment. Thus, i</w:t>
      </w:r>
      <w:r w:rsidR="003E2C0F">
        <w:t>f</w:t>
      </w:r>
      <w:r w:rsidR="00167688">
        <w:t xml:space="preserve"> a country’s</w:t>
      </w:r>
      <w:r w:rsidR="003E2C0F">
        <w:t xml:space="preserve"> </w:t>
      </w:r>
      <w:r w:rsidR="00B25AB9">
        <w:t xml:space="preserve">labor laws are </w:t>
      </w:r>
      <w:r w:rsidR="00A20731">
        <w:t>inconsistently</w:t>
      </w:r>
      <w:r w:rsidR="003E2C0F">
        <w:t xml:space="preserve"> enforced</w:t>
      </w:r>
      <w:r w:rsidR="00B25AB9">
        <w:t xml:space="preserve"> </w:t>
      </w:r>
      <w:r w:rsidR="00A20731">
        <w:t xml:space="preserve">and </w:t>
      </w:r>
      <w:r w:rsidR="00167688">
        <w:t xml:space="preserve">its </w:t>
      </w:r>
      <w:r w:rsidR="004F0AC4">
        <w:t xml:space="preserve">legal </w:t>
      </w:r>
      <w:r w:rsidR="009B5B68">
        <w:t>remedies</w:t>
      </w:r>
      <w:r w:rsidR="00B25AB9">
        <w:t xml:space="preserve"> for </w:t>
      </w:r>
      <w:r w:rsidR="004F0AC4">
        <w:t xml:space="preserve">victims of </w:t>
      </w:r>
      <w:r w:rsidR="00B25AB9">
        <w:t xml:space="preserve">gender discrimination </w:t>
      </w:r>
      <w:r w:rsidR="004F0AC4">
        <w:t xml:space="preserve">are inadequate, </w:t>
      </w:r>
      <w:r w:rsidR="009B5B68">
        <w:t xml:space="preserve">its </w:t>
      </w:r>
      <w:r w:rsidR="005E0BC3">
        <w:t xml:space="preserve">employees </w:t>
      </w:r>
      <w:r w:rsidR="00167688">
        <w:t xml:space="preserve">will </w:t>
      </w:r>
      <w:r w:rsidR="0039706F">
        <w:t xml:space="preserve">have a </w:t>
      </w:r>
      <w:r w:rsidR="009B5B68">
        <w:t xml:space="preserve">higher </w:t>
      </w:r>
      <w:r w:rsidR="0039706F">
        <w:t xml:space="preserve">tolerance </w:t>
      </w:r>
      <w:r w:rsidR="000F29CB">
        <w:t>for</w:t>
      </w:r>
      <w:r w:rsidR="0039706F">
        <w:t xml:space="preserve"> discrimination and</w:t>
      </w:r>
      <w:r w:rsidR="006E091A">
        <w:t>,</w:t>
      </w:r>
      <w:r w:rsidR="0039706F">
        <w:t xml:space="preserve"> </w:t>
      </w:r>
      <w:r w:rsidR="001D4999">
        <w:t>consequently</w:t>
      </w:r>
      <w:r w:rsidR="006E091A">
        <w:t>,</w:t>
      </w:r>
      <w:r w:rsidR="0039706F">
        <w:t xml:space="preserve"> </w:t>
      </w:r>
      <w:r w:rsidR="001D4999">
        <w:t xml:space="preserve">weaker reactions </w:t>
      </w:r>
      <w:r w:rsidR="00711522">
        <w:t xml:space="preserve">to </w:t>
      </w:r>
      <w:r w:rsidR="000F29CB">
        <w:t xml:space="preserve">perceived </w:t>
      </w:r>
      <w:r w:rsidR="00B430B4">
        <w:t xml:space="preserve">gender discrimination. </w:t>
      </w:r>
      <w:r w:rsidR="00AD6B79" w:rsidRPr="009E6F55">
        <w:t xml:space="preserve">This is </w:t>
      </w:r>
      <w:r w:rsidR="00F875FA">
        <w:t>analogous</w:t>
      </w:r>
      <w:r w:rsidR="00F875FA" w:rsidRPr="009E6F55">
        <w:t xml:space="preserve"> </w:t>
      </w:r>
      <w:r w:rsidR="00F875FA">
        <w:t>to</w:t>
      </w:r>
      <w:r w:rsidR="00F875FA" w:rsidRPr="009E6F55">
        <w:t xml:space="preserve"> </w:t>
      </w:r>
      <w:r w:rsidR="00AD6B79" w:rsidRPr="009E6F55">
        <w:t xml:space="preserve">the inurement effect reported by Raver and Nishii (2010) </w:t>
      </w:r>
      <w:r w:rsidR="00593565">
        <w:t xml:space="preserve">where </w:t>
      </w:r>
      <w:r w:rsidR="006B0A91">
        <w:t xml:space="preserve">participants </w:t>
      </w:r>
      <w:r w:rsidR="00AD6B79" w:rsidRPr="009E6F55">
        <w:t>learn</w:t>
      </w:r>
      <w:r w:rsidR="00E70532">
        <w:t>ed</w:t>
      </w:r>
      <w:r w:rsidR="00AD6B79" w:rsidRPr="009E6F55">
        <w:t xml:space="preserve"> to expect poor treatment </w:t>
      </w:r>
      <w:r w:rsidR="00D414E1" w:rsidRPr="009E6F55">
        <w:t xml:space="preserve">once one form of </w:t>
      </w:r>
      <w:r w:rsidR="0006020D">
        <w:t>harassment</w:t>
      </w:r>
      <w:r w:rsidR="00D414E1" w:rsidRPr="009E6F55">
        <w:t xml:space="preserve"> was present </w:t>
      </w:r>
      <w:r w:rsidR="00AD6B79" w:rsidRPr="009E6F55">
        <w:t xml:space="preserve">and reacted less strongly to additional </w:t>
      </w:r>
      <w:r w:rsidR="00E70532">
        <w:t xml:space="preserve">forms of </w:t>
      </w:r>
      <w:r w:rsidR="00DF0041">
        <w:t>mis</w:t>
      </w:r>
      <w:r w:rsidR="00AD6B79" w:rsidRPr="009E6F55">
        <w:t xml:space="preserve">treatment. </w:t>
      </w:r>
      <w:r w:rsidR="009E6F55" w:rsidRPr="009E6F55">
        <w:t>In an unsupportive cont</w:t>
      </w:r>
      <w:r w:rsidR="009E6F55">
        <w:t>ext, v</w:t>
      </w:r>
      <w:r w:rsidR="00B430B4">
        <w:t xml:space="preserve">ictims of gender discrimination </w:t>
      </w:r>
      <w:r w:rsidR="00525BB0">
        <w:t>are</w:t>
      </w:r>
      <w:r w:rsidR="00B430B4">
        <w:t xml:space="preserve"> </w:t>
      </w:r>
      <w:r w:rsidR="006F51F9">
        <w:t xml:space="preserve">more likely to </w:t>
      </w:r>
      <w:r w:rsidR="00B430B4">
        <w:t>respon</w:t>
      </w:r>
      <w:r w:rsidR="006F51F9">
        <w:t>d</w:t>
      </w:r>
      <w:r w:rsidR="00167688">
        <w:t xml:space="preserve"> </w:t>
      </w:r>
      <w:r w:rsidR="00B430B4">
        <w:t>passive</w:t>
      </w:r>
      <w:r w:rsidR="006F51F9">
        <w:t>ly</w:t>
      </w:r>
      <w:r w:rsidR="00DF0041">
        <w:t xml:space="preserve"> if they have no recourse</w:t>
      </w:r>
      <w:r w:rsidR="0047780C">
        <w:t>.</w:t>
      </w:r>
      <w:r w:rsidR="00480039">
        <w:t xml:space="preserve"> </w:t>
      </w:r>
      <w:r w:rsidR="003E2C0F">
        <w:t xml:space="preserve">Crosby </w:t>
      </w:r>
      <w:r w:rsidR="00E118E8">
        <w:t xml:space="preserve">(1984) </w:t>
      </w:r>
      <w:r w:rsidR="00DF0041">
        <w:t>foun</w:t>
      </w:r>
      <w:r w:rsidR="006F51F9">
        <w:t xml:space="preserve">d </w:t>
      </w:r>
      <w:r w:rsidR="003E2C0F">
        <w:t xml:space="preserve">that </w:t>
      </w:r>
      <w:r w:rsidR="00E118E8">
        <w:t xml:space="preserve">women subject to </w:t>
      </w:r>
      <w:r w:rsidR="003E2C0F">
        <w:t>gender discrimination in pay acknowledge</w:t>
      </w:r>
      <w:r w:rsidR="00DF0041">
        <w:t>d</w:t>
      </w:r>
      <w:r w:rsidR="003E2C0F">
        <w:t xml:space="preserve"> </w:t>
      </w:r>
      <w:r w:rsidR="000F38E4">
        <w:t>being</w:t>
      </w:r>
      <w:r w:rsidR="003E2C0F">
        <w:t xml:space="preserve"> aware of discrimination toward other women but </w:t>
      </w:r>
      <w:r w:rsidR="00E118E8">
        <w:t xml:space="preserve">not </w:t>
      </w:r>
      <w:r w:rsidR="00DF0041">
        <w:t xml:space="preserve">toward themselves, perhaps </w:t>
      </w:r>
      <w:r w:rsidR="00E70532">
        <w:t xml:space="preserve">to avoid </w:t>
      </w:r>
      <w:r w:rsidR="00195A12">
        <w:t>identifying</w:t>
      </w:r>
      <w:r w:rsidR="00E70532">
        <w:t xml:space="preserve"> villains</w:t>
      </w:r>
      <w:r w:rsidR="003E2C0F">
        <w:t xml:space="preserve">. </w:t>
      </w:r>
      <w:r w:rsidR="00E70532">
        <w:t>W</w:t>
      </w:r>
      <w:r w:rsidR="00480039">
        <w:t>e hypothesize the following:</w:t>
      </w:r>
      <w:r w:rsidR="004F0AC4">
        <w:t xml:space="preserve"> </w:t>
      </w:r>
      <w:r w:rsidR="00B25AB9">
        <w:t xml:space="preserve">  </w:t>
      </w:r>
      <w:r w:rsidR="009073E8">
        <w:t xml:space="preserve"> </w:t>
      </w:r>
    </w:p>
    <w:p w14:paraId="672F2050" w14:textId="77777777" w:rsidR="00C0780C" w:rsidRDefault="0047780C" w:rsidP="00394D83">
      <w:pPr>
        <w:widowControl w:val="0"/>
        <w:suppressAutoHyphens w:val="0"/>
        <w:ind w:left="720"/>
        <w:rPr>
          <w:i/>
        </w:rPr>
      </w:pPr>
      <w:r>
        <w:rPr>
          <w:i/>
        </w:rPr>
        <w:t>Hypothesis 2</w:t>
      </w:r>
      <w:r w:rsidRPr="002F6F6F">
        <w:rPr>
          <w:i/>
        </w:rPr>
        <w:t xml:space="preserve">: </w:t>
      </w:r>
      <w:r>
        <w:rPr>
          <w:i/>
        </w:rPr>
        <w:t>The relationship between perceived gender</w:t>
      </w:r>
      <w:r w:rsidRPr="002F6F6F">
        <w:rPr>
          <w:i/>
        </w:rPr>
        <w:t xml:space="preserve"> discrimination at work </w:t>
      </w:r>
      <w:r>
        <w:rPr>
          <w:i/>
        </w:rPr>
        <w:t>and its employee outcomes (job attitudes, physical</w:t>
      </w:r>
      <w:r w:rsidR="00017CB7">
        <w:rPr>
          <w:i/>
        </w:rPr>
        <w:t xml:space="preserve"> health outcomes and behaviors,</w:t>
      </w:r>
      <w:r>
        <w:rPr>
          <w:i/>
        </w:rPr>
        <w:t xml:space="preserve"> psychological health,</w:t>
      </w:r>
      <w:r w:rsidR="00480039">
        <w:rPr>
          <w:i/>
        </w:rPr>
        <w:t xml:space="preserve"> </w:t>
      </w:r>
      <w:r>
        <w:rPr>
          <w:i/>
        </w:rPr>
        <w:t xml:space="preserve">and </w:t>
      </w:r>
      <w:r w:rsidR="00934B8C">
        <w:rPr>
          <w:i/>
        </w:rPr>
        <w:t>work</w:t>
      </w:r>
      <w:r w:rsidR="00F66697">
        <w:rPr>
          <w:i/>
        </w:rPr>
        <w:t>-related</w:t>
      </w:r>
      <w:r>
        <w:rPr>
          <w:i/>
        </w:rPr>
        <w:t xml:space="preserve"> outcomes) </w:t>
      </w:r>
      <w:r w:rsidRPr="002F6F6F">
        <w:rPr>
          <w:i/>
        </w:rPr>
        <w:t xml:space="preserve">will be </w:t>
      </w:r>
      <w:r w:rsidR="00A20731">
        <w:rPr>
          <w:i/>
        </w:rPr>
        <w:t>stronger</w:t>
      </w:r>
      <w:r>
        <w:rPr>
          <w:i/>
        </w:rPr>
        <w:t xml:space="preserve"> </w:t>
      </w:r>
      <w:r w:rsidR="005E0BC3">
        <w:rPr>
          <w:i/>
        </w:rPr>
        <w:t>(i.e.</w:t>
      </w:r>
      <w:r w:rsidR="00F219B3">
        <w:rPr>
          <w:i/>
        </w:rPr>
        <w:t>,</w:t>
      </w:r>
      <w:r w:rsidR="005E0BC3">
        <w:rPr>
          <w:i/>
        </w:rPr>
        <w:t xml:space="preserve"> more negative) </w:t>
      </w:r>
      <w:r>
        <w:rPr>
          <w:i/>
        </w:rPr>
        <w:t xml:space="preserve">in countries with </w:t>
      </w:r>
      <w:r w:rsidR="00A20731">
        <w:rPr>
          <w:i/>
        </w:rPr>
        <w:t xml:space="preserve">more broadly integrated </w:t>
      </w:r>
      <w:r w:rsidR="000A4086">
        <w:rPr>
          <w:i/>
        </w:rPr>
        <w:t>gender-equitable</w:t>
      </w:r>
      <w:r w:rsidR="005E0BC3">
        <w:rPr>
          <w:i/>
        </w:rPr>
        <w:t xml:space="preserve"> labor policies </w:t>
      </w:r>
      <w:r w:rsidR="00A20731">
        <w:rPr>
          <w:i/>
        </w:rPr>
        <w:t xml:space="preserve">and stringently enforced </w:t>
      </w:r>
      <w:r w:rsidR="000A4086">
        <w:rPr>
          <w:i/>
        </w:rPr>
        <w:t>gender-equitable</w:t>
      </w:r>
      <w:r w:rsidR="005E0BC3">
        <w:rPr>
          <w:i/>
        </w:rPr>
        <w:t xml:space="preserve"> labor practices </w:t>
      </w:r>
      <w:r w:rsidR="002A6F5B">
        <w:rPr>
          <w:i/>
        </w:rPr>
        <w:t>than in countries</w:t>
      </w:r>
      <w:r w:rsidR="006E5167">
        <w:rPr>
          <w:i/>
        </w:rPr>
        <w:t xml:space="preserve"> with less broadly integrated </w:t>
      </w:r>
      <w:r w:rsidR="000A4086">
        <w:rPr>
          <w:i/>
        </w:rPr>
        <w:t>gender-equitable</w:t>
      </w:r>
      <w:r w:rsidR="005E0BC3">
        <w:rPr>
          <w:i/>
        </w:rPr>
        <w:t xml:space="preserve"> labor policies </w:t>
      </w:r>
      <w:r w:rsidR="006E5167">
        <w:rPr>
          <w:i/>
        </w:rPr>
        <w:t xml:space="preserve">and </w:t>
      </w:r>
      <w:r w:rsidR="005E0BC3">
        <w:rPr>
          <w:i/>
        </w:rPr>
        <w:t xml:space="preserve">less </w:t>
      </w:r>
      <w:r w:rsidR="006E5167">
        <w:rPr>
          <w:i/>
        </w:rPr>
        <w:t xml:space="preserve">stringently enforced </w:t>
      </w:r>
      <w:r w:rsidR="000A4086">
        <w:rPr>
          <w:i/>
        </w:rPr>
        <w:t>gender-equitable</w:t>
      </w:r>
      <w:r w:rsidR="006E5167">
        <w:rPr>
          <w:i/>
        </w:rPr>
        <w:t xml:space="preserve"> labor </w:t>
      </w:r>
      <w:r w:rsidR="005E0BC3">
        <w:rPr>
          <w:i/>
        </w:rPr>
        <w:t>practices</w:t>
      </w:r>
      <w:r>
        <w:rPr>
          <w:i/>
        </w:rPr>
        <w:t>.</w:t>
      </w:r>
    </w:p>
    <w:p w14:paraId="15F777F9" w14:textId="77777777" w:rsidR="00500939" w:rsidRDefault="00500939" w:rsidP="00394D83">
      <w:pPr>
        <w:widowControl w:val="0"/>
        <w:suppressAutoHyphens w:val="0"/>
        <w:ind w:left="720"/>
      </w:pPr>
    </w:p>
    <w:p w14:paraId="51C243BA" w14:textId="5913EC20" w:rsidR="004D7EFD" w:rsidRDefault="00521189" w:rsidP="00394D83">
      <w:pPr>
        <w:widowControl w:val="0"/>
        <w:suppressAutoHyphens w:val="0"/>
        <w:spacing w:line="480" w:lineRule="auto"/>
      </w:pPr>
      <w:r>
        <w:tab/>
      </w:r>
      <w:r w:rsidR="008B6128" w:rsidRPr="00CC1C7D">
        <w:rPr>
          <w:b/>
        </w:rPr>
        <w:t>National di</w:t>
      </w:r>
      <w:r w:rsidR="00A42605">
        <w:rPr>
          <w:b/>
        </w:rPr>
        <w:t>fferences in cultural practices</w:t>
      </w:r>
      <w:r w:rsidR="008B6128">
        <w:t xml:space="preserve">. </w:t>
      </w:r>
      <w:r w:rsidR="002A3A97">
        <w:t>National cultur</w:t>
      </w:r>
      <w:r w:rsidR="00964A31">
        <w:t>e</w:t>
      </w:r>
      <w:r w:rsidR="002A3A97">
        <w:t xml:space="preserve"> norms derived from “the collective programming of the mind that distinguishes the members of one human group from another” (Hofstede, 1980</w:t>
      </w:r>
      <w:r w:rsidR="00F74903">
        <w:t xml:space="preserve">: </w:t>
      </w:r>
      <w:r w:rsidR="002A3A97">
        <w:t>25) can create implicit, shared expectations o</w:t>
      </w:r>
      <w:r w:rsidR="006B0A91">
        <w:t>f</w:t>
      </w:r>
      <w:r w:rsidR="002A3A97">
        <w:t xml:space="preserve"> gender equality. </w:t>
      </w:r>
      <w:r w:rsidR="001C5B41">
        <w:t xml:space="preserve">House </w:t>
      </w:r>
      <w:r w:rsidR="004163A9">
        <w:t>and colleagues</w:t>
      </w:r>
      <w:r w:rsidR="001C5B41">
        <w:t xml:space="preserve"> (</w:t>
      </w:r>
      <w:r w:rsidR="00C11653">
        <w:t>2004</w:t>
      </w:r>
      <w:r w:rsidR="00F74903">
        <w:t>:</w:t>
      </w:r>
      <w:r w:rsidR="001C5B41">
        <w:t xml:space="preserve"> 343) note that “one of the most fundamental ways </w:t>
      </w:r>
      <w:r w:rsidR="00A42605">
        <w:t>that</w:t>
      </w:r>
      <w:r w:rsidR="001C5B41">
        <w:t xml:space="preserve"> societies differ is the extent to which each prescribes and proscribes dif</w:t>
      </w:r>
      <w:r w:rsidR="00F219B3">
        <w:t>ferent roles for women and men.”</w:t>
      </w:r>
      <w:r w:rsidR="001C5B41">
        <w:t xml:space="preserve"> </w:t>
      </w:r>
      <w:r w:rsidR="00A42605">
        <w:t>G</w:t>
      </w:r>
      <w:r w:rsidR="00D91F64">
        <w:t>ender</w:t>
      </w:r>
      <w:r w:rsidR="00711522">
        <w:t xml:space="preserve"> egalitarian societies </w:t>
      </w:r>
      <w:r w:rsidR="00D91F64">
        <w:t>minimiz</w:t>
      </w:r>
      <w:r w:rsidR="00711522">
        <w:t>e</w:t>
      </w:r>
      <w:r w:rsidR="00D91F64">
        <w:t xml:space="preserve"> gender role differences while gender differentiated societies maximiz</w:t>
      </w:r>
      <w:r w:rsidR="00711522">
        <w:t>e</w:t>
      </w:r>
      <w:r w:rsidR="00D91F64">
        <w:t xml:space="preserve"> </w:t>
      </w:r>
      <w:r w:rsidR="00E55F00">
        <w:t>them</w:t>
      </w:r>
      <w:r w:rsidR="00D91F64">
        <w:t xml:space="preserve">. </w:t>
      </w:r>
      <w:r w:rsidR="008E3477">
        <w:t>Therefore, g</w:t>
      </w:r>
      <w:r w:rsidR="004D7EFD">
        <w:t>ender egalitarianism encompasses gender stereotypes and ideologies or “beliefs about what is possible or appropriate for women and men</w:t>
      </w:r>
      <w:r w:rsidR="00F219B3">
        <w:t>,</w:t>
      </w:r>
      <w:r w:rsidR="004D7EFD">
        <w:t>” which in turn “affect their treatment and roles in homes, workplaces, and societies” and the likelihood of being discriminated against</w:t>
      </w:r>
      <w:r w:rsidR="00850040">
        <w:t xml:space="preserve"> (House et al., 2004</w:t>
      </w:r>
      <w:r w:rsidR="00D17E7C">
        <w:t>:</w:t>
      </w:r>
      <w:r w:rsidR="00553D3F">
        <w:t xml:space="preserve"> 386)</w:t>
      </w:r>
      <w:r w:rsidR="004D7EFD">
        <w:t>.</w:t>
      </w:r>
      <w:r w:rsidR="00D16EA2">
        <w:t xml:space="preserve"> </w:t>
      </w:r>
    </w:p>
    <w:p w14:paraId="24AD2039" w14:textId="69055F29" w:rsidR="00E9526E" w:rsidRDefault="00331CCC" w:rsidP="00394D83">
      <w:pPr>
        <w:widowControl w:val="0"/>
        <w:suppressAutoHyphens w:val="0"/>
        <w:spacing w:line="480" w:lineRule="auto"/>
      </w:pPr>
      <w:r w:rsidRPr="00F11352">
        <w:tab/>
      </w:r>
      <w:r w:rsidR="004C74C1">
        <w:t xml:space="preserve">House et al.’s (2004) </w:t>
      </w:r>
      <w:r w:rsidR="00C01990">
        <w:t xml:space="preserve">GLOBE study </w:t>
      </w:r>
      <w:r w:rsidR="00195607">
        <w:t xml:space="preserve">measured gender egalitarianism </w:t>
      </w:r>
      <w:r w:rsidR="00564E1F">
        <w:t xml:space="preserve">practice </w:t>
      </w:r>
      <w:r w:rsidR="00195607">
        <w:t xml:space="preserve">across </w:t>
      </w:r>
      <w:r w:rsidR="00C01990">
        <w:t>62 different countries</w:t>
      </w:r>
      <w:r w:rsidR="00564E1F">
        <w:t xml:space="preserve"> as</w:t>
      </w:r>
      <w:r w:rsidR="004C74C1">
        <w:t xml:space="preserve"> </w:t>
      </w:r>
      <w:r>
        <w:t>the</w:t>
      </w:r>
      <w:r w:rsidR="004C74C1">
        <w:t xml:space="preserve"> degree of gender e</w:t>
      </w:r>
      <w:r w:rsidR="00195607">
        <w:t xml:space="preserve">galitarianism </w:t>
      </w:r>
      <w:r w:rsidR="0037086A">
        <w:t xml:space="preserve">institutionally enacted </w:t>
      </w:r>
      <w:r w:rsidR="00195607">
        <w:t xml:space="preserve">in each society. </w:t>
      </w:r>
      <w:r w:rsidR="001D5E99">
        <w:t xml:space="preserve">In countries that </w:t>
      </w:r>
      <w:r w:rsidR="00E9526E">
        <w:t xml:space="preserve">score </w:t>
      </w:r>
      <w:r w:rsidR="001D5E99">
        <w:t xml:space="preserve">high </w:t>
      </w:r>
      <w:r w:rsidR="00E9526E">
        <w:t xml:space="preserve">on </w:t>
      </w:r>
      <w:r w:rsidR="001D5E99">
        <w:t xml:space="preserve">gender egalitarianism, the </w:t>
      </w:r>
      <w:r w:rsidR="00E9526E">
        <w:t>emphasis</w:t>
      </w:r>
      <w:r w:rsidR="001D5E99">
        <w:t xml:space="preserve"> is </w:t>
      </w:r>
      <w:r w:rsidR="00E9526E">
        <w:t>on</w:t>
      </w:r>
      <w:r w:rsidR="001D5E99">
        <w:t xml:space="preserve"> reject</w:t>
      </w:r>
      <w:r w:rsidR="00E9526E">
        <w:t>ing</w:t>
      </w:r>
      <w:r w:rsidR="001D5E99">
        <w:t xml:space="preserve"> distinctions between the genders </w:t>
      </w:r>
      <w:r w:rsidR="00E9526E">
        <w:t xml:space="preserve">in allocating employment opportunities </w:t>
      </w:r>
      <w:r w:rsidR="001D5E99">
        <w:t xml:space="preserve">and </w:t>
      </w:r>
      <w:r w:rsidR="00E9526E">
        <w:t xml:space="preserve">avoiding </w:t>
      </w:r>
      <w:r w:rsidR="001D5E99">
        <w:t>elevat</w:t>
      </w:r>
      <w:r w:rsidR="00E9526E">
        <w:t>ing</w:t>
      </w:r>
      <w:r w:rsidR="001D5E99">
        <w:t xml:space="preserve"> one gender to a higher status </w:t>
      </w:r>
      <w:r w:rsidR="0068560F">
        <w:t>over the other</w:t>
      </w:r>
      <w:r w:rsidR="001D5E99">
        <w:t xml:space="preserve"> </w:t>
      </w:r>
      <w:r w:rsidR="00E9526E">
        <w:t xml:space="preserve">in the work environment </w:t>
      </w:r>
      <w:r w:rsidR="001D5E99">
        <w:t>(House et al., 2004).</w:t>
      </w:r>
      <w:r w:rsidR="00E9526E">
        <w:t xml:space="preserve"> In </w:t>
      </w:r>
      <w:r w:rsidR="00B16A9A">
        <w:t xml:space="preserve">these </w:t>
      </w:r>
      <w:r w:rsidR="00E9526E">
        <w:t xml:space="preserve">countries, gender roles </w:t>
      </w:r>
      <w:r w:rsidR="00564E1F">
        <w:t xml:space="preserve">are blurred </w:t>
      </w:r>
      <w:r w:rsidR="00E9526E">
        <w:t>in accordance with modern ideologies that view men and women as equals</w:t>
      </w:r>
      <w:r w:rsidR="00564E1F">
        <w:t>.</w:t>
      </w:r>
      <w:r w:rsidR="00E9526E">
        <w:t xml:space="preserve"> </w:t>
      </w:r>
      <w:r w:rsidR="00E70532">
        <w:t>I</w:t>
      </w:r>
      <w:r w:rsidR="00E9526E">
        <w:t>n countries where gender egalitarianism is low, traditional ideologies advocate assign</w:t>
      </w:r>
      <w:r w:rsidR="00E30BC8">
        <w:t>ing</w:t>
      </w:r>
      <w:r w:rsidR="00E9526E">
        <w:t xml:space="preserve"> dominant roles to men and submissive roles to women (House et al., 2004). </w:t>
      </w:r>
    </w:p>
    <w:p w14:paraId="20B9E288" w14:textId="77777777" w:rsidR="00964A31" w:rsidRDefault="00AE403C" w:rsidP="00394D83">
      <w:pPr>
        <w:widowControl w:val="0"/>
        <w:suppressAutoHyphens w:val="0"/>
        <w:spacing w:line="480" w:lineRule="auto"/>
        <w:ind w:firstLine="720"/>
      </w:pPr>
      <w:r>
        <w:t xml:space="preserve">In </w:t>
      </w:r>
      <w:r w:rsidR="000C3A23">
        <w:t xml:space="preserve">highly </w:t>
      </w:r>
      <w:r>
        <w:t>gender</w:t>
      </w:r>
      <w:r w:rsidR="001D4999">
        <w:t>-</w:t>
      </w:r>
      <w:r>
        <w:t>egalitarian</w:t>
      </w:r>
      <w:r w:rsidR="001D4999">
        <w:t xml:space="preserve"> societies</w:t>
      </w:r>
      <w:r w:rsidR="001D2BDA">
        <w:t xml:space="preserve">, </w:t>
      </w:r>
      <w:r w:rsidR="003046B3">
        <w:t>more emphasis is placed on</w:t>
      </w:r>
      <w:r>
        <w:t xml:space="preserve"> avoid</w:t>
      </w:r>
      <w:r w:rsidR="003046B3">
        <w:t>ing</w:t>
      </w:r>
      <w:r>
        <w:t xml:space="preserve"> stereotyping and equaliz</w:t>
      </w:r>
      <w:r w:rsidR="003046B3">
        <w:t>ing</w:t>
      </w:r>
      <w:r>
        <w:t xml:space="preserve"> the </w:t>
      </w:r>
      <w:r w:rsidR="001E07DA">
        <w:t xml:space="preserve">academic and professional </w:t>
      </w:r>
      <w:r>
        <w:t>roles of men and women.</w:t>
      </w:r>
      <w:r w:rsidR="00CE5F8E">
        <w:t xml:space="preserve"> For instance, </w:t>
      </w:r>
      <w:proofErr w:type="spellStart"/>
      <w:r w:rsidR="00A962A9">
        <w:t>Emrich</w:t>
      </w:r>
      <w:proofErr w:type="spellEnd"/>
      <w:r w:rsidR="00A962A9">
        <w:t>, Denmark, and Den Hartog (2004)</w:t>
      </w:r>
      <w:r w:rsidR="00CE5F8E">
        <w:t xml:space="preserve"> correlated gender egalitarianism with gender stereotype</w:t>
      </w:r>
      <w:r w:rsidR="001E07DA">
        <w:t>s</w:t>
      </w:r>
      <w:r w:rsidR="00CE5F8E">
        <w:t xml:space="preserve"> in a 25-nation study of university students and found that the more egalitarian a society was</w:t>
      </w:r>
      <w:r w:rsidR="00964A31">
        <w:t>,</w:t>
      </w:r>
      <w:r w:rsidR="00CE5F8E">
        <w:t xml:space="preserve"> the more favorable students’ stereotypes of females </w:t>
      </w:r>
      <w:r w:rsidR="00964A31">
        <w:t xml:space="preserve">were </w:t>
      </w:r>
      <w:r w:rsidR="00CE5F8E">
        <w:t xml:space="preserve">relative to their stereotypes of males. </w:t>
      </w:r>
      <w:r w:rsidR="00564E1F">
        <w:t xml:space="preserve">In a </w:t>
      </w:r>
      <w:r w:rsidR="00564E1F">
        <w:lastRenderedPageBreak/>
        <w:t xml:space="preserve">separate 14-nation study, </w:t>
      </w:r>
      <w:proofErr w:type="spellStart"/>
      <w:r w:rsidR="00493DEA">
        <w:t>Emrich</w:t>
      </w:r>
      <w:proofErr w:type="spellEnd"/>
      <w:r w:rsidR="00493DEA">
        <w:t xml:space="preserve"> et al. (2004)</w:t>
      </w:r>
      <w:r w:rsidR="00CE5F8E">
        <w:t xml:space="preserve"> </w:t>
      </w:r>
      <w:r w:rsidR="003C75CA">
        <w:t>found that</w:t>
      </w:r>
      <w:r w:rsidR="00CE5F8E">
        <w:t xml:space="preserve"> members of high</w:t>
      </w:r>
      <w:r w:rsidR="000C3A23">
        <w:t>ly</w:t>
      </w:r>
      <w:r w:rsidR="00CE5F8E">
        <w:t xml:space="preserve"> gender</w:t>
      </w:r>
      <w:r w:rsidR="000C3A23">
        <w:t>-</w:t>
      </w:r>
      <w:r w:rsidR="00CE5F8E">
        <w:t>egalitarian</w:t>
      </w:r>
      <w:r w:rsidR="000C3A23">
        <w:t xml:space="preserve"> societies</w:t>
      </w:r>
      <w:r w:rsidR="00CE5F8E">
        <w:t xml:space="preserve"> espouse</w:t>
      </w:r>
      <w:r w:rsidR="00E70532">
        <w:t>d</w:t>
      </w:r>
      <w:r w:rsidR="00CE5F8E">
        <w:t xml:space="preserve"> greater equality of men and women. </w:t>
      </w:r>
    </w:p>
    <w:p w14:paraId="16343B3F" w14:textId="77777777" w:rsidR="00590ED0" w:rsidRDefault="00A962A9" w:rsidP="00394D83">
      <w:pPr>
        <w:widowControl w:val="0"/>
        <w:suppressAutoHyphens w:val="0"/>
        <w:spacing w:line="480" w:lineRule="auto"/>
        <w:ind w:firstLine="720"/>
        <w:rPr>
          <w:i/>
        </w:rPr>
      </w:pPr>
      <w:r>
        <w:t>Based on these findings</w:t>
      </w:r>
      <w:r w:rsidR="00197A90">
        <w:t xml:space="preserve">, </w:t>
      </w:r>
      <w:r w:rsidR="00AE403C">
        <w:t>when gender discrimination occur</w:t>
      </w:r>
      <w:r w:rsidR="00A324DD">
        <w:t>s</w:t>
      </w:r>
      <w:r w:rsidR="00197A90">
        <w:t xml:space="preserve"> in countries</w:t>
      </w:r>
      <w:r>
        <w:t xml:space="preserve"> with high gender egalitarianism</w:t>
      </w:r>
      <w:r w:rsidR="00AE403C">
        <w:t>,</w:t>
      </w:r>
      <w:r w:rsidR="00866D2F">
        <w:t xml:space="preserve"> employees</w:t>
      </w:r>
      <w:r w:rsidR="00744444">
        <w:t xml:space="preserve"> </w:t>
      </w:r>
      <w:r w:rsidR="00AD221D">
        <w:t>will</w:t>
      </w:r>
      <w:r w:rsidR="00744444">
        <w:t xml:space="preserve"> </w:t>
      </w:r>
      <w:r w:rsidR="00AE403C">
        <w:t xml:space="preserve">be less tolerant of it </w:t>
      </w:r>
      <w:r w:rsidR="00AD0820">
        <w:t xml:space="preserve">and </w:t>
      </w:r>
      <w:r w:rsidR="00E70532">
        <w:t xml:space="preserve">will </w:t>
      </w:r>
      <w:r w:rsidR="00AD0820">
        <w:t xml:space="preserve">react more strongly to it </w:t>
      </w:r>
      <w:r w:rsidR="00AE403C">
        <w:t xml:space="preserve">because of the salience of </w:t>
      </w:r>
      <w:r w:rsidR="00AD0820">
        <w:t xml:space="preserve">the </w:t>
      </w:r>
      <w:r w:rsidR="001E07DA">
        <w:t xml:space="preserve">cultural </w:t>
      </w:r>
      <w:r w:rsidR="00AD0820">
        <w:t>norms pertaining to gender role equality.</w:t>
      </w:r>
      <w:r w:rsidR="00AE403C">
        <w:t xml:space="preserve"> </w:t>
      </w:r>
      <w:r w:rsidR="00AD0820">
        <w:t xml:space="preserve">In </w:t>
      </w:r>
      <w:r w:rsidR="00DA0A55">
        <w:t>countries</w:t>
      </w:r>
      <w:r w:rsidR="001D2BDA">
        <w:t xml:space="preserve"> </w:t>
      </w:r>
      <w:r w:rsidR="00AD0820">
        <w:t xml:space="preserve">where gender egalitarianism is </w:t>
      </w:r>
      <w:r w:rsidR="00D12AB5">
        <w:t>weak</w:t>
      </w:r>
      <w:r w:rsidR="00AD0820">
        <w:t xml:space="preserve">, stereotyping </w:t>
      </w:r>
      <w:r w:rsidR="00AD221D">
        <w:t>will</w:t>
      </w:r>
      <w:r w:rsidR="00AD0820">
        <w:t xml:space="preserve"> be more prominent </w:t>
      </w:r>
      <w:r w:rsidR="00480E52">
        <w:t xml:space="preserve">and </w:t>
      </w:r>
      <w:r w:rsidR="00AD0820">
        <w:t xml:space="preserve">gender roles </w:t>
      </w:r>
      <w:r w:rsidR="00557EFA">
        <w:t>will</w:t>
      </w:r>
      <w:r w:rsidR="00AD0820">
        <w:t xml:space="preserve"> be strongly differentiated</w:t>
      </w:r>
      <w:r w:rsidR="00392EDD">
        <w:t>. Consequently, employees</w:t>
      </w:r>
      <w:r w:rsidR="00AD0820">
        <w:t xml:space="preserve"> </w:t>
      </w:r>
      <w:r w:rsidR="00AD221D">
        <w:t>will</w:t>
      </w:r>
      <w:r w:rsidR="00AD0820">
        <w:t xml:space="preserve"> </w:t>
      </w:r>
      <w:r w:rsidR="00D26E94">
        <w:t xml:space="preserve">react less </w:t>
      </w:r>
      <w:r w:rsidR="00A7067E">
        <w:t>intensely</w:t>
      </w:r>
      <w:r w:rsidR="00AD0820">
        <w:t xml:space="preserve"> </w:t>
      </w:r>
      <w:r w:rsidR="001E07DA">
        <w:t xml:space="preserve">to gender discrimination </w:t>
      </w:r>
      <w:r w:rsidR="00AD0820">
        <w:t xml:space="preserve">due to their frequent exposure to </w:t>
      </w:r>
      <w:r w:rsidR="001C684A">
        <w:t>stereotypes, gender-biased occupations</w:t>
      </w:r>
      <w:r w:rsidR="00527925">
        <w:t>,</w:t>
      </w:r>
      <w:r w:rsidR="001C684A">
        <w:t xml:space="preserve"> and </w:t>
      </w:r>
      <w:r w:rsidR="00AD0820">
        <w:t>unequal employment opportunities</w:t>
      </w:r>
      <w:r w:rsidR="001C684A">
        <w:t>,</w:t>
      </w:r>
      <w:r w:rsidR="00AD0820">
        <w:t xml:space="preserve"> </w:t>
      </w:r>
      <w:r w:rsidR="00480E52">
        <w:t xml:space="preserve">as well as </w:t>
      </w:r>
      <w:r w:rsidR="00AD0820">
        <w:t xml:space="preserve">socialization into norms that </w:t>
      </w:r>
      <w:r w:rsidR="00D26E94">
        <w:t>endorse gender differences</w:t>
      </w:r>
      <w:r w:rsidR="00AD221D">
        <w:t xml:space="preserve"> (</w:t>
      </w:r>
      <w:proofErr w:type="spellStart"/>
      <w:r w:rsidR="00AD221D">
        <w:t>Emrich</w:t>
      </w:r>
      <w:proofErr w:type="spellEnd"/>
      <w:r w:rsidR="00AD221D">
        <w:t xml:space="preserve"> et al., 2004; House et al., 2004; Raver &amp; Nishii, 2010)</w:t>
      </w:r>
      <w:r w:rsidR="00194059">
        <w:t xml:space="preserve">. </w:t>
      </w:r>
      <w:r w:rsidR="00091B51">
        <w:t>Thus, we propose:</w:t>
      </w:r>
      <w:r w:rsidR="004A1551">
        <w:t xml:space="preserve"> </w:t>
      </w:r>
      <w:bookmarkEnd w:id="0"/>
      <w:bookmarkEnd w:id="1"/>
    </w:p>
    <w:p w14:paraId="6CD1B06F" w14:textId="77777777" w:rsidR="00590ED0" w:rsidRDefault="00590ED0" w:rsidP="00394D83">
      <w:pPr>
        <w:widowControl w:val="0"/>
        <w:suppressAutoHyphens w:val="0"/>
        <w:ind w:left="720"/>
        <w:rPr>
          <w:i/>
        </w:rPr>
      </w:pPr>
      <w:r w:rsidRPr="00500939">
        <w:rPr>
          <w:i/>
        </w:rPr>
        <w:t xml:space="preserve">Hypothesis </w:t>
      </w:r>
      <w:r w:rsidR="003F5EF3" w:rsidRPr="00500939">
        <w:rPr>
          <w:i/>
        </w:rPr>
        <w:t>3</w:t>
      </w:r>
      <w:r w:rsidRPr="00500939">
        <w:rPr>
          <w:i/>
        </w:rPr>
        <w:t xml:space="preserve">: The relationship between perceived </w:t>
      </w:r>
      <w:r w:rsidR="00D04DE4" w:rsidRPr="00500939">
        <w:rPr>
          <w:i/>
        </w:rPr>
        <w:t>gender</w:t>
      </w:r>
      <w:r w:rsidRPr="00500939">
        <w:rPr>
          <w:i/>
        </w:rPr>
        <w:t xml:space="preserve"> discrimination at work and its employee outcomes (job attitudes, physical </w:t>
      </w:r>
      <w:r w:rsidR="00171E34" w:rsidRPr="00500939">
        <w:rPr>
          <w:i/>
        </w:rPr>
        <w:t>health outcomes and behaviors,</w:t>
      </w:r>
      <w:r w:rsidRPr="00500939">
        <w:rPr>
          <w:i/>
        </w:rPr>
        <w:t xml:space="preserve"> psychological health, and </w:t>
      </w:r>
      <w:r w:rsidR="00DB7773" w:rsidRPr="00500939">
        <w:rPr>
          <w:i/>
        </w:rPr>
        <w:t>work</w:t>
      </w:r>
      <w:r w:rsidR="00F66697" w:rsidRPr="00500939">
        <w:rPr>
          <w:i/>
        </w:rPr>
        <w:t>-related</w:t>
      </w:r>
      <w:r w:rsidR="00B16A9A" w:rsidRPr="00500939">
        <w:rPr>
          <w:i/>
        </w:rPr>
        <w:t xml:space="preserve"> </w:t>
      </w:r>
      <w:r w:rsidRPr="00500939">
        <w:rPr>
          <w:i/>
        </w:rPr>
        <w:t xml:space="preserve">outcomes) will be stronger </w:t>
      </w:r>
      <w:r w:rsidR="00866D2F" w:rsidRPr="00500939">
        <w:rPr>
          <w:i/>
        </w:rPr>
        <w:t>(i.e.</w:t>
      </w:r>
      <w:r w:rsidR="00F219B3" w:rsidRPr="00500939">
        <w:rPr>
          <w:i/>
        </w:rPr>
        <w:t>,</w:t>
      </w:r>
      <w:r w:rsidR="00866D2F" w:rsidRPr="00500939">
        <w:rPr>
          <w:i/>
        </w:rPr>
        <w:t xml:space="preserve"> more negative) </w:t>
      </w:r>
      <w:r w:rsidRPr="00500939">
        <w:rPr>
          <w:i/>
        </w:rPr>
        <w:t>for</w:t>
      </w:r>
      <w:r w:rsidR="00500227" w:rsidRPr="00500939">
        <w:rPr>
          <w:i/>
        </w:rPr>
        <w:t xml:space="preserve"> </w:t>
      </w:r>
      <w:r w:rsidR="00DB7773" w:rsidRPr="00500939">
        <w:rPr>
          <w:i/>
        </w:rPr>
        <w:t xml:space="preserve">countries with </w:t>
      </w:r>
      <w:r w:rsidR="00500227" w:rsidRPr="00500939">
        <w:rPr>
          <w:i/>
        </w:rPr>
        <w:t xml:space="preserve">more gender egalitarian </w:t>
      </w:r>
      <w:r w:rsidR="00DB7773" w:rsidRPr="00500939">
        <w:rPr>
          <w:i/>
        </w:rPr>
        <w:t>practices</w:t>
      </w:r>
      <w:r w:rsidRPr="00500939">
        <w:rPr>
          <w:i/>
        </w:rPr>
        <w:t xml:space="preserve"> compared to </w:t>
      </w:r>
      <w:r w:rsidR="00DB7773" w:rsidRPr="00500939">
        <w:rPr>
          <w:i/>
        </w:rPr>
        <w:t>countries with less gender egalitarian practic</w:t>
      </w:r>
      <w:r w:rsidR="00DA0A55" w:rsidRPr="00500939">
        <w:rPr>
          <w:i/>
        </w:rPr>
        <w:t>es</w:t>
      </w:r>
      <w:r w:rsidRPr="00500939">
        <w:rPr>
          <w:i/>
        </w:rPr>
        <w:t>.</w:t>
      </w:r>
    </w:p>
    <w:p w14:paraId="436A7647" w14:textId="77777777" w:rsidR="00500939" w:rsidRPr="00500939" w:rsidRDefault="00500939" w:rsidP="00394D83">
      <w:pPr>
        <w:widowControl w:val="0"/>
        <w:suppressAutoHyphens w:val="0"/>
        <w:ind w:left="720"/>
        <w:rPr>
          <w:i/>
        </w:rPr>
      </w:pPr>
    </w:p>
    <w:p w14:paraId="6648679E" w14:textId="77777777" w:rsidR="00590ED0" w:rsidRPr="00AA569D" w:rsidRDefault="00D12703" w:rsidP="00394D83">
      <w:pPr>
        <w:widowControl w:val="0"/>
        <w:suppressAutoHyphens w:val="0"/>
        <w:spacing w:line="480" w:lineRule="auto"/>
        <w:jc w:val="center"/>
        <w:rPr>
          <w:b/>
        </w:rPr>
      </w:pPr>
      <w:r w:rsidRPr="009357BD">
        <w:rPr>
          <w:b/>
        </w:rPr>
        <w:t>ME</w:t>
      </w:r>
      <w:r w:rsidRPr="00AA569D">
        <w:rPr>
          <w:b/>
        </w:rPr>
        <w:t>THOD</w:t>
      </w:r>
      <w:r w:rsidR="00B53ACE">
        <w:rPr>
          <w:b/>
        </w:rPr>
        <w:t xml:space="preserve"> FOR META-ANALYSIS</w:t>
      </w:r>
    </w:p>
    <w:p w14:paraId="02BC12D6" w14:textId="77777777" w:rsidR="00590ED0" w:rsidRPr="002825F8" w:rsidRDefault="00590ED0" w:rsidP="00394D83">
      <w:pPr>
        <w:widowControl w:val="0"/>
        <w:suppressAutoHyphens w:val="0"/>
        <w:spacing w:line="480" w:lineRule="auto"/>
        <w:rPr>
          <w:b/>
        </w:rPr>
      </w:pPr>
      <w:r w:rsidRPr="002825F8">
        <w:rPr>
          <w:b/>
        </w:rPr>
        <w:t>Sample</w:t>
      </w:r>
      <w:r w:rsidR="00B53ACE">
        <w:rPr>
          <w:b/>
        </w:rPr>
        <w:t xml:space="preserve"> of Studies</w:t>
      </w:r>
    </w:p>
    <w:p w14:paraId="042B4794" w14:textId="77777777" w:rsidR="00392804" w:rsidRDefault="00B61615" w:rsidP="00394D83">
      <w:pPr>
        <w:widowControl w:val="0"/>
        <w:suppressAutoHyphens w:val="0"/>
        <w:spacing w:line="480" w:lineRule="auto"/>
        <w:ind w:firstLine="720"/>
        <w:rPr>
          <w:bCs/>
        </w:rPr>
      </w:pPr>
      <w:r>
        <w:t>To identify published and unpublished studies on the relationship between perceived gender discrimination at work and employee outcomes, w</w:t>
      </w:r>
      <w:r w:rsidR="00590ED0">
        <w:t>e conducted a</w:t>
      </w:r>
      <w:r w:rsidR="00646E63">
        <w:t xml:space="preserve"> </w:t>
      </w:r>
      <w:r w:rsidR="009E7460">
        <w:t>comprehensive</w:t>
      </w:r>
      <w:r w:rsidR="00590ED0">
        <w:t xml:space="preserve"> bibliographic search</w:t>
      </w:r>
      <w:r w:rsidR="00646E63">
        <w:t xml:space="preserve"> across </w:t>
      </w:r>
      <w:r w:rsidR="00C47FE2">
        <w:t>major</w:t>
      </w:r>
      <w:r w:rsidR="00646E63">
        <w:t xml:space="preserve"> databases</w:t>
      </w:r>
      <w:r w:rsidR="00C47FE2">
        <w:t xml:space="preserve"> </w:t>
      </w:r>
      <w:r>
        <w:t>that include</w:t>
      </w:r>
      <w:r w:rsidR="00C47FE2">
        <w:t xml:space="preserve"> English-, Chinese-, and Spanish-written articles</w:t>
      </w:r>
      <w:r w:rsidR="00646E63">
        <w:t xml:space="preserve">. </w:t>
      </w:r>
      <w:r w:rsidR="00392804">
        <w:t>The English</w:t>
      </w:r>
      <w:r w:rsidR="00392804" w:rsidRPr="006A7584">
        <w:t xml:space="preserve"> databases included ABI/Inform, Business Source Complete, </w:t>
      </w:r>
      <w:proofErr w:type="spellStart"/>
      <w:r w:rsidR="00392804" w:rsidRPr="006A7584">
        <w:t>Proquest</w:t>
      </w:r>
      <w:proofErr w:type="spellEnd"/>
      <w:r w:rsidR="00392804" w:rsidRPr="006A7584">
        <w:t xml:space="preserve"> Dissertations and Theses, PsycINFO, Sociological Abstracts, Academic Search Premier, Business Source Premier, Criminal Justice Abstracts, Educational Administration Abstracts, Humanities International Complete, MEDLINE, Military &amp; Government Collection, </w:t>
      </w:r>
      <w:proofErr w:type="spellStart"/>
      <w:r w:rsidR="00392804" w:rsidRPr="006A7584">
        <w:t>PsycARTICLES</w:t>
      </w:r>
      <w:proofErr w:type="spellEnd"/>
      <w:r w:rsidR="00392804" w:rsidRPr="006A7584">
        <w:t xml:space="preserve">, Social Sciences Full Text (H.W. Wilson) Social Work Abstracts, </w:t>
      </w:r>
      <w:proofErr w:type="spellStart"/>
      <w:r w:rsidR="00392804" w:rsidRPr="006A7584">
        <w:t>SocINDEX</w:t>
      </w:r>
      <w:proofErr w:type="spellEnd"/>
      <w:r w:rsidR="00392804" w:rsidRPr="006A7584">
        <w:t xml:space="preserve"> </w:t>
      </w:r>
      <w:r w:rsidR="00392804" w:rsidRPr="006A7584">
        <w:lastRenderedPageBreak/>
        <w:t xml:space="preserve">with Full Text, </w:t>
      </w:r>
      <w:proofErr w:type="spellStart"/>
      <w:r w:rsidR="00392804" w:rsidRPr="006A7584">
        <w:t>SPORTDiscuss</w:t>
      </w:r>
      <w:proofErr w:type="spellEnd"/>
      <w:r w:rsidR="00392804" w:rsidRPr="006A7584">
        <w:t xml:space="preserve"> with Full Text, and Women’s Studies International. Based on consultation with a university librarian for databases containing Chinese and Spanish research, our Chinese-speaking author searched </w:t>
      </w:r>
      <w:r w:rsidR="00392804" w:rsidRPr="006A7584">
        <w:rPr>
          <w:bCs/>
        </w:rPr>
        <w:t>the leading Chinese database provider, the China National Knowledge Infrastructure (CNKI), which includes Chin</w:t>
      </w:r>
      <w:r w:rsidR="00255B03">
        <w:rPr>
          <w:bCs/>
        </w:rPr>
        <w:t>ese</w:t>
      </w:r>
      <w:r w:rsidR="00392804" w:rsidRPr="006A7584">
        <w:rPr>
          <w:bCs/>
        </w:rPr>
        <w:t xml:space="preserve"> journals, dissertations, newspapers, and conference proceedings, and a</w:t>
      </w:r>
      <w:r w:rsidR="00392804" w:rsidRPr="006A7584">
        <w:t xml:space="preserve"> Spanish-speaking author searched the Spanish databases, including </w:t>
      </w:r>
      <w:r w:rsidR="00392804" w:rsidRPr="006A7584">
        <w:rPr>
          <w:bCs/>
        </w:rPr>
        <w:t xml:space="preserve">Web of Science, Scopus, Business Source Complete, </w:t>
      </w:r>
      <w:r w:rsidR="00392804" w:rsidRPr="006A7584">
        <w:rPr>
          <w:bCs/>
          <w:lang w:val="fr-FR"/>
        </w:rPr>
        <w:t>ABI/</w:t>
      </w:r>
      <w:proofErr w:type="spellStart"/>
      <w:r w:rsidR="00392804" w:rsidRPr="006A7584">
        <w:rPr>
          <w:bCs/>
          <w:lang w:val="fr-FR"/>
        </w:rPr>
        <w:t>Inform</w:t>
      </w:r>
      <w:proofErr w:type="spellEnd"/>
      <w:r w:rsidR="00392804" w:rsidRPr="006A7584">
        <w:rPr>
          <w:bCs/>
          <w:lang w:val="fr-FR"/>
        </w:rPr>
        <w:t xml:space="preserve">, </w:t>
      </w:r>
      <w:proofErr w:type="spellStart"/>
      <w:r w:rsidR="00392804" w:rsidRPr="006A7584">
        <w:rPr>
          <w:bCs/>
          <w:lang w:val="fr-FR"/>
        </w:rPr>
        <w:t>Dialnet</w:t>
      </w:r>
      <w:proofErr w:type="spellEnd"/>
      <w:r w:rsidR="00392804" w:rsidRPr="006A7584">
        <w:rPr>
          <w:bCs/>
          <w:lang w:val="fr-FR"/>
        </w:rPr>
        <w:t xml:space="preserve">, </w:t>
      </w:r>
      <w:proofErr w:type="spellStart"/>
      <w:r w:rsidR="00392804" w:rsidRPr="006A7584">
        <w:rPr>
          <w:bCs/>
          <w:lang w:val="fr-FR"/>
        </w:rPr>
        <w:t>Digitalia</w:t>
      </w:r>
      <w:proofErr w:type="spellEnd"/>
      <w:r w:rsidR="00392804" w:rsidRPr="006A7584">
        <w:rPr>
          <w:bCs/>
          <w:lang w:val="fr-FR"/>
        </w:rPr>
        <w:t xml:space="preserve">, Informe </w:t>
      </w:r>
      <w:proofErr w:type="spellStart"/>
      <w:r w:rsidR="00392804" w:rsidRPr="006A7584">
        <w:rPr>
          <w:bCs/>
          <w:lang w:val="fr-FR"/>
        </w:rPr>
        <w:t>Academico</w:t>
      </w:r>
      <w:proofErr w:type="spellEnd"/>
      <w:r w:rsidR="00392804" w:rsidRPr="006A7584">
        <w:rPr>
          <w:bCs/>
          <w:lang w:val="fr-FR"/>
        </w:rPr>
        <w:t xml:space="preserve">, </w:t>
      </w:r>
      <w:proofErr w:type="spellStart"/>
      <w:r w:rsidR="00392804" w:rsidRPr="006A7584">
        <w:rPr>
          <w:bCs/>
        </w:rPr>
        <w:t>REDALyc</w:t>
      </w:r>
      <w:proofErr w:type="spellEnd"/>
      <w:r w:rsidR="00392804" w:rsidRPr="006A7584">
        <w:rPr>
          <w:bCs/>
        </w:rPr>
        <w:t xml:space="preserve">, </w:t>
      </w:r>
      <w:proofErr w:type="spellStart"/>
      <w:r w:rsidR="00392804" w:rsidRPr="006A7584">
        <w:rPr>
          <w:bCs/>
        </w:rPr>
        <w:t>Socindex</w:t>
      </w:r>
      <w:proofErr w:type="spellEnd"/>
      <w:r w:rsidR="00392804" w:rsidRPr="006A7584">
        <w:rPr>
          <w:bCs/>
        </w:rPr>
        <w:t xml:space="preserve">, Google </w:t>
      </w:r>
      <w:proofErr w:type="spellStart"/>
      <w:r w:rsidR="00392804" w:rsidRPr="006A7584">
        <w:rPr>
          <w:bCs/>
        </w:rPr>
        <w:t>Académico</w:t>
      </w:r>
      <w:proofErr w:type="spellEnd"/>
      <w:r w:rsidR="00392804" w:rsidRPr="006A7584">
        <w:rPr>
          <w:bCs/>
        </w:rPr>
        <w:t xml:space="preserve">, and </w:t>
      </w:r>
      <w:proofErr w:type="spellStart"/>
      <w:r w:rsidR="00392804" w:rsidRPr="006A7584">
        <w:rPr>
          <w:bCs/>
        </w:rPr>
        <w:t>WorldCat</w:t>
      </w:r>
      <w:proofErr w:type="spellEnd"/>
      <w:r w:rsidR="00392804" w:rsidRPr="006A7584">
        <w:rPr>
          <w:bCs/>
        </w:rPr>
        <w:t>.</w:t>
      </w:r>
    </w:p>
    <w:p w14:paraId="0B65B636" w14:textId="2792DB09" w:rsidR="00A477F3" w:rsidRDefault="009E7460" w:rsidP="00394D83">
      <w:pPr>
        <w:widowControl w:val="0"/>
        <w:suppressAutoHyphens w:val="0"/>
        <w:spacing w:line="480" w:lineRule="auto"/>
        <w:ind w:firstLine="720"/>
      </w:pPr>
      <w:r w:rsidRPr="00FB4C5D">
        <w:t>Including a search of</w:t>
      </w:r>
      <w:r w:rsidR="00B61615">
        <w:t xml:space="preserve"> articles written in</w:t>
      </w:r>
      <w:r w:rsidRPr="00FB4C5D">
        <w:t xml:space="preserve"> Chinese and Spanish ensured that we did not miss any relevant </w:t>
      </w:r>
      <w:r w:rsidR="00B61615">
        <w:t>studies</w:t>
      </w:r>
      <w:r w:rsidRPr="00FB4C5D">
        <w:t xml:space="preserve">. We chose these languages </w:t>
      </w:r>
      <w:r w:rsidR="00B61615">
        <w:t xml:space="preserve">because </w:t>
      </w:r>
      <w:r w:rsidRPr="00FB4C5D">
        <w:t>they</w:t>
      </w:r>
      <w:r w:rsidR="00A63160">
        <w:t>, along with English,</w:t>
      </w:r>
      <w:r w:rsidRPr="00FB4C5D">
        <w:t xml:space="preserve"> are the t</w:t>
      </w:r>
      <w:r w:rsidR="00DA61C1">
        <w:t>hree</w:t>
      </w:r>
      <w:r w:rsidRPr="00FB4C5D">
        <w:t xml:space="preserve"> most common languages in the world (Mandarin Chinese is first with 848 million speakers, Spanish is second with 406 million speakers, English is third with 335 million speakers) (Tinsley &amp; Board, 2014).</w:t>
      </w:r>
      <w:r w:rsidRPr="008C571D">
        <w:t xml:space="preserve"> </w:t>
      </w:r>
      <w:r w:rsidR="00590ED0">
        <w:t xml:space="preserve">We searched for the use of </w:t>
      </w:r>
      <w:proofErr w:type="spellStart"/>
      <w:r w:rsidR="00590ED0">
        <w:t>discriminat</w:t>
      </w:r>
      <w:proofErr w:type="spellEnd"/>
      <w:r w:rsidR="00590ED0">
        <w:t xml:space="preserve">*, </w:t>
      </w:r>
      <w:proofErr w:type="spellStart"/>
      <w:r w:rsidR="00590ED0">
        <w:t>stereotyp</w:t>
      </w:r>
      <w:proofErr w:type="spellEnd"/>
      <w:r w:rsidR="00590ED0">
        <w:t xml:space="preserve">*, </w:t>
      </w:r>
      <w:proofErr w:type="spellStart"/>
      <w:r w:rsidR="00590ED0">
        <w:t>prejudic</w:t>
      </w:r>
      <w:proofErr w:type="spellEnd"/>
      <w:r w:rsidR="00590ED0">
        <w:t>*, bias*, gender, and sex in</w:t>
      </w:r>
      <w:r w:rsidR="001306A6">
        <w:t xml:space="preserve"> article</w:t>
      </w:r>
      <w:r w:rsidR="00590ED0">
        <w:t xml:space="preserve"> titles, abstracts, and keywords in combination with the use of employ* or work* anywhere in the article </w:t>
      </w:r>
      <w:r>
        <w:t>to</w:t>
      </w:r>
      <w:r w:rsidR="00590ED0">
        <w:t xml:space="preserve"> limit</w:t>
      </w:r>
      <w:r>
        <w:t xml:space="preserve"> our search</w:t>
      </w:r>
      <w:r w:rsidR="00590ED0">
        <w:t xml:space="preserve"> to </w:t>
      </w:r>
      <w:r w:rsidR="00DC1D23">
        <w:t>employment settings</w:t>
      </w:r>
      <w:r w:rsidR="00483622">
        <w:t>.</w:t>
      </w:r>
      <w:r w:rsidR="00557EFA">
        <w:t xml:space="preserve"> (The * find</w:t>
      </w:r>
      <w:r w:rsidR="00C47FE2">
        <w:t>s</w:t>
      </w:r>
      <w:r w:rsidR="00557EFA">
        <w:t xml:space="preserve"> any </w:t>
      </w:r>
      <w:r w:rsidR="00C47FE2">
        <w:t xml:space="preserve">letter </w:t>
      </w:r>
      <w:r w:rsidR="00557EFA">
        <w:t>combination from that point forward; e.g., discrimination, discriminating).</w:t>
      </w:r>
      <w:r w:rsidR="00F52627">
        <w:t xml:space="preserve"> </w:t>
      </w:r>
      <w:r w:rsidR="0065583C">
        <w:t>Equivalent</w:t>
      </w:r>
      <w:r w:rsidR="00B61615">
        <w:t xml:space="preserve"> searches were conducted in Spanish and Chinese. </w:t>
      </w:r>
      <w:r w:rsidR="00FB6CE3">
        <w:t xml:space="preserve">In total, we screened approximately </w:t>
      </w:r>
      <w:r w:rsidR="00C47FE2">
        <w:t xml:space="preserve">457,954 </w:t>
      </w:r>
      <w:r w:rsidR="00FB6CE3">
        <w:t>articles for relevance</w:t>
      </w:r>
      <w:r w:rsidR="00C47FE2">
        <w:t xml:space="preserve"> (i.e., 427,422 articles in English; 18,085 articles in Spanish; 12,447 articles in Chinese).</w:t>
      </w:r>
      <w:r w:rsidR="00FB6CE3">
        <w:t xml:space="preserve"> We broadened our search by 1) reviewi</w:t>
      </w:r>
      <w:r w:rsidR="00DA61C1">
        <w:t xml:space="preserve">ng proceedings for the 2010-2017 </w:t>
      </w:r>
      <w:r w:rsidR="00FB6CE3">
        <w:t>meetings of the Academy of Management and the Society for Industrial and Organizational Psychology, 2) contacting authors of studies in our sample, 3) emailing the A</w:t>
      </w:r>
      <w:r w:rsidR="00F00F28">
        <w:t xml:space="preserve">cademy of </w:t>
      </w:r>
      <w:r w:rsidR="00FB6CE3">
        <w:t>M</w:t>
      </w:r>
      <w:r w:rsidR="00F00F28">
        <w:t>anagement</w:t>
      </w:r>
      <w:r w:rsidR="00FB6CE3">
        <w:t xml:space="preserve"> distribution lists, and 4) reviewing the references of all studies in our sample.</w:t>
      </w:r>
      <w:r w:rsidR="00A477F3">
        <w:t xml:space="preserve"> </w:t>
      </w:r>
    </w:p>
    <w:p w14:paraId="580BFDFD" w14:textId="30004CAB" w:rsidR="00FB6CE3" w:rsidRDefault="00FB6CE3" w:rsidP="00392804">
      <w:pPr>
        <w:widowControl w:val="0"/>
        <w:suppressAutoHyphens w:val="0"/>
        <w:spacing w:line="480" w:lineRule="auto"/>
        <w:ind w:firstLine="720"/>
      </w:pPr>
      <w:r>
        <w:t>We used several criteria in screening studies to be included in the final sample. First, studies had to explicitly measure perceived gender discrimination at work (i.e., no experiments)</w:t>
      </w:r>
      <w:r w:rsidR="001306A6">
        <w:t>,</w:t>
      </w:r>
      <w:r>
        <w:t xml:space="preserve"> </w:t>
      </w:r>
      <w:r>
        <w:lastRenderedPageBreak/>
        <w:t>not proxy perceived discrimination based on gender differences</w:t>
      </w:r>
      <w:r w:rsidR="001306A6">
        <w:t>,</w:t>
      </w:r>
      <w:r>
        <w:t xml:space="preserve"> or measure discrimination generally or ambiguously without reference to gender. Second, the measure of perceived gender discrimination had to reflect employees’ personal perception of gender discrimination and not acts that were purely sexual in nature or discrimination experienced by others in the workplace. Third, the measurement</w:t>
      </w:r>
      <w:r w:rsidR="00B44D0F">
        <w:t xml:space="preserve"> and </w:t>
      </w:r>
      <w:r>
        <w:t xml:space="preserve">analyses were required to be conducted at the individual level and not at the group or organizational level. Finally, effect size estimates had to be reported in the form of bivariate correlation coefficients or a statistic convertible to a correlation. We contacted the authors to request information on effect size estimates when they were not reported or were reported in a form that could not be converted to a correlation. </w:t>
      </w:r>
    </w:p>
    <w:p w14:paraId="5F1BAF53" w14:textId="77777777" w:rsidR="00FB6CE3" w:rsidRDefault="00FB6CE3" w:rsidP="00394D83">
      <w:pPr>
        <w:widowControl w:val="0"/>
        <w:suppressAutoHyphens w:val="0"/>
        <w:spacing w:line="480" w:lineRule="auto"/>
        <w:ind w:firstLine="720"/>
      </w:pPr>
      <w:r w:rsidRPr="0097611A">
        <w:t>The</w:t>
      </w:r>
      <w:r w:rsidR="00AE5B00" w:rsidRPr="0097611A">
        <w:t xml:space="preserve"> final sample was 8</w:t>
      </w:r>
      <w:r w:rsidR="0097611A" w:rsidRPr="0097611A">
        <w:t>5</w:t>
      </w:r>
      <w:r w:rsidRPr="0097611A">
        <w:t xml:space="preserve"> correlations from studies published between 1979 and 201</w:t>
      </w:r>
      <w:r w:rsidR="0097611A" w:rsidRPr="0097611A">
        <w:t>7</w:t>
      </w:r>
      <w:r w:rsidR="00484340" w:rsidRPr="0097611A">
        <w:t>,</w:t>
      </w:r>
      <w:r w:rsidR="00484340">
        <w:t xml:space="preserve"> with the majority being publish</w:t>
      </w:r>
      <w:r>
        <w:t>ed within the last 30 years</w:t>
      </w:r>
      <w:r w:rsidR="00484340">
        <w:t xml:space="preserve"> (i.e., on</w:t>
      </w:r>
      <w:r>
        <w:t xml:space="preserve">ly three correlations were from studies published more than 30 years </w:t>
      </w:r>
      <w:r w:rsidR="00011877">
        <w:t>ago</w:t>
      </w:r>
      <w:r w:rsidR="00484340">
        <w:t>)</w:t>
      </w:r>
      <w:r>
        <w:t xml:space="preserve">. The populations referred to in our manuscript include men and women with work experience in the countries from which the studies’ samples are drawn. The list of articles coded is in Appendix </w:t>
      </w:r>
      <w:r w:rsidR="0030481E">
        <w:t>B</w:t>
      </w:r>
      <w:r>
        <w:t xml:space="preserve"> </w:t>
      </w:r>
      <w:r w:rsidR="00011877">
        <w:t>of</w:t>
      </w:r>
      <w:r>
        <w:t xml:space="preserve"> the online supplement. </w:t>
      </w:r>
    </w:p>
    <w:p w14:paraId="4421E2FC" w14:textId="77777777" w:rsidR="00FB6CE3" w:rsidRPr="00A474AB" w:rsidRDefault="00FB6CE3" w:rsidP="00394D83">
      <w:pPr>
        <w:widowControl w:val="0"/>
        <w:suppressAutoHyphens w:val="0"/>
        <w:spacing w:line="480" w:lineRule="auto"/>
        <w:rPr>
          <w:b/>
        </w:rPr>
      </w:pPr>
      <w:r w:rsidRPr="00A474AB">
        <w:rPr>
          <w:b/>
        </w:rPr>
        <w:t>Coding</w:t>
      </w:r>
    </w:p>
    <w:p w14:paraId="630DC399" w14:textId="0B05E72C" w:rsidR="00FB6CE3" w:rsidRPr="00791DE5" w:rsidRDefault="00FB6CE3" w:rsidP="00234EA0">
      <w:pPr>
        <w:pStyle w:val="PlainText"/>
        <w:widowControl w:val="0"/>
        <w:spacing w:line="480" w:lineRule="auto"/>
        <w:ind w:firstLine="720"/>
        <w:rPr>
          <w:rFonts w:ascii="Times New Roman" w:hAnsi="Times New Roman"/>
          <w:sz w:val="24"/>
          <w:szCs w:val="24"/>
        </w:rPr>
      </w:pPr>
      <w:r w:rsidRPr="00255143">
        <w:rPr>
          <w:rFonts w:ascii="Times New Roman" w:hAnsi="Times New Roman"/>
          <w:sz w:val="24"/>
          <w:szCs w:val="24"/>
        </w:rPr>
        <w:t xml:space="preserve">We coded correlation coefficients, sample size, and measurement error (e.g., Cronbach’s </w:t>
      </w:r>
      <w:r w:rsidRPr="00791DE5">
        <w:rPr>
          <w:rFonts w:ascii="Times New Roman" w:hAnsi="Times New Roman"/>
          <w:sz w:val="24"/>
          <w:szCs w:val="24"/>
        </w:rPr>
        <w:t xml:space="preserve">alpha) for independent and dependent variables. Correlation coefficients were grouped based on the </w:t>
      </w:r>
      <w:r w:rsidR="00C60539">
        <w:rPr>
          <w:rFonts w:ascii="Times New Roman" w:hAnsi="Times New Roman"/>
          <w:sz w:val="24"/>
          <w:szCs w:val="24"/>
        </w:rPr>
        <w:t>following outcome categorie</w:t>
      </w:r>
      <w:r w:rsidRPr="00791DE5">
        <w:rPr>
          <w:rFonts w:ascii="Times New Roman" w:hAnsi="Times New Roman"/>
          <w:sz w:val="24"/>
          <w:szCs w:val="24"/>
        </w:rPr>
        <w:t xml:space="preserve">s: job </w:t>
      </w:r>
      <w:r w:rsidRPr="008B3F10">
        <w:rPr>
          <w:rFonts w:ascii="Times New Roman" w:hAnsi="Times New Roman"/>
          <w:sz w:val="24"/>
          <w:szCs w:val="24"/>
        </w:rPr>
        <w:t>attitudes (</w:t>
      </w:r>
      <w:r w:rsidRPr="008B3F10">
        <w:rPr>
          <w:rFonts w:ascii="Times New Roman" w:hAnsi="Times New Roman"/>
          <w:i/>
          <w:sz w:val="24"/>
          <w:szCs w:val="24"/>
        </w:rPr>
        <w:t>k</w:t>
      </w:r>
      <w:r w:rsidRPr="008B3F10">
        <w:rPr>
          <w:rFonts w:ascii="Times New Roman" w:hAnsi="Times New Roman"/>
          <w:sz w:val="24"/>
          <w:szCs w:val="24"/>
        </w:rPr>
        <w:t xml:space="preserve"> = 3</w:t>
      </w:r>
      <w:r w:rsidR="008B3F10" w:rsidRPr="008B3F10">
        <w:rPr>
          <w:rFonts w:ascii="Times New Roman" w:hAnsi="Times New Roman"/>
          <w:sz w:val="24"/>
          <w:szCs w:val="24"/>
        </w:rPr>
        <w:t>9</w:t>
      </w:r>
      <w:r w:rsidRPr="008B3F10">
        <w:rPr>
          <w:rFonts w:ascii="Times New Roman" w:hAnsi="Times New Roman"/>
          <w:sz w:val="24"/>
          <w:szCs w:val="24"/>
        </w:rPr>
        <w:t>), physical</w:t>
      </w:r>
      <w:r w:rsidRPr="00791DE5">
        <w:rPr>
          <w:rFonts w:ascii="Times New Roman" w:hAnsi="Times New Roman"/>
          <w:sz w:val="24"/>
          <w:szCs w:val="24"/>
        </w:rPr>
        <w:t xml:space="preserve"> </w:t>
      </w:r>
      <w:r w:rsidRPr="0097611A">
        <w:rPr>
          <w:rFonts w:ascii="Times New Roman" w:hAnsi="Times New Roman"/>
          <w:sz w:val="24"/>
          <w:szCs w:val="24"/>
        </w:rPr>
        <w:t>health outcomes and behaviors (</w:t>
      </w:r>
      <w:r w:rsidRPr="0097611A">
        <w:rPr>
          <w:rFonts w:ascii="Times New Roman" w:hAnsi="Times New Roman"/>
          <w:i/>
          <w:sz w:val="24"/>
          <w:szCs w:val="24"/>
        </w:rPr>
        <w:t>k</w:t>
      </w:r>
      <w:r w:rsidRPr="0097611A">
        <w:rPr>
          <w:rFonts w:ascii="Times New Roman" w:hAnsi="Times New Roman"/>
          <w:sz w:val="24"/>
          <w:szCs w:val="24"/>
        </w:rPr>
        <w:t xml:space="preserve"> = 11), psychological health (</w:t>
      </w:r>
      <w:r w:rsidRPr="0097611A">
        <w:rPr>
          <w:rFonts w:ascii="Times New Roman" w:hAnsi="Times New Roman"/>
          <w:i/>
          <w:sz w:val="24"/>
          <w:szCs w:val="24"/>
        </w:rPr>
        <w:t>k</w:t>
      </w:r>
      <w:r w:rsidRPr="0097611A">
        <w:rPr>
          <w:rFonts w:ascii="Times New Roman" w:hAnsi="Times New Roman"/>
          <w:sz w:val="24"/>
          <w:szCs w:val="24"/>
        </w:rPr>
        <w:t xml:space="preserve"> = 19), and work-related outcomes categorized into job-based (</w:t>
      </w:r>
      <w:r w:rsidRPr="0097611A">
        <w:rPr>
          <w:rFonts w:ascii="Times New Roman" w:hAnsi="Times New Roman"/>
          <w:i/>
          <w:sz w:val="24"/>
          <w:szCs w:val="24"/>
        </w:rPr>
        <w:t>k</w:t>
      </w:r>
      <w:r w:rsidRPr="0097611A">
        <w:rPr>
          <w:rFonts w:ascii="Times New Roman" w:hAnsi="Times New Roman"/>
          <w:sz w:val="24"/>
          <w:szCs w:val="24"/>
        </w:rPr>
        <w:t xml:space="preserve"> = </w:t>
      </w:r>
      <w:r w:rsidR="00647995" w:rsidRPr="0097611A">
        <w:rPr>
          <w:rFonts w:ascii="Times New Roman" w:hAnsi="Times New Roman"/>
          <w:sz w:val="24"/>
          <w:szCs w:val="24"/>
        </w:rPr>
        <w:t>11</w:t>
      </w:r>
      <w:r w:rsidRPr="0097611A">
        <w:rPr>
          <w:rFonts w:ascii="Times New Roman" w:hAnsi="Times New Roman"/>
          <w:sz w:val="24"/>
          <w:szCs w:val="24"/>
        </w:rPr>
        <w:t>) and relationship-based (</w:t>
      </w:r>
      <w:r w:rsidRPr="0097611A">
        <w:rPr>
          <w:rFonts w:ascii="Times New Roman" w:hAnsi="Times New Roman"/>
          <w:i/>
          <w:sz w:val="24"/>
          <w:szCs w:val="24"/>
        </w:rPr>
        <w:t>k</w:t>
      </w:r>
      <w:r w:rsidRPr="0097611A">
        <w:rPr>
          <w:rFonts w:ascii="Times New Roman" w:hAnsi="Times New Roman"/>
          <w:sz w:val="24"/>
          <w:szCs w:val="24"/>
        </w:rPr>
        <w:t xml:space="preserve"> = 5). If multiple correlation coefficients were reported in a study</w:t>
      </w:r>
      <w:r w:rsidRPr="00791DE5">
        <w:rPr>
          <w:rFonts w:ascii="Times New Roman" w:hAnsi="Times New Roman"/>
          <w:sz w:val="24"/>
          <w:szCs w:val="24"/>
        </w:rPr>
        <w:t xml:space="preserve"> between perceived workplace gender discrimination and dependent variables grouped in the same outcome category (e.g., job satisfaction and commitment), we aggregated them </w:t>
      </w:r>
      <w:r>
        <w:rPr>
          <w:rFonts w:ascii="Times New Roman" w:hAnsi="Times New Roman"/>
          <w:sz w:val="24"/>
          <w:szCs w:val="24"/>
        </w:rPr>
        <w:t>using</w:t>
      </w:r>
      <w:r w:rsidRPr="00791DE5">
        <w:rPr>
          <w:rFonts w:ascii="Times New Roman" w:hAnsi="Times New Roman"/>
          <w:sz w:val="24"/>
          <w:szCs w:val="24"/>
        </w:rPr>
        <w:t xml:space="preserve"> </w:t>
      </w:r>
      <w:hyperlink w:anchor="_ENREF_1" w:tooltip="Hunter, 2004 #5" w:history="1">
        <w:r>
          <w:rPr>
            <w:rFonts w:ascii="Times New Roman" w:hAnsi="Times New Roman"/>
            <w:noProof/>
            <w:sz w:val="24"/>
            <w:szCs w:val="24"/>
          </w:rPr>
          <w:t xml:space="preserve">Hunter </w:t>
        </w:r>
        <w:r w:rsidR="004C01C8">
          <w:rPr>
            <w:rFonts w:ascii="Times New Roman" w:hAnsi="Times New Roman"/>
            <w:noProof/>
            <w:sz w:val="24"/>
            <w:szCs w:val="24"/>
          </w:rPr>
          <w:t>and</w:t>
        </w:r>
        <w:r>
          <w:rPr>
            <w:rFonts w:ascii="Times New Roman" w:hAnsi="Times New Roman"/>
            <w:noProof/>
            <w:sz w:val="24"/>
            <w:szCs w:val="24"/>
          </w:rPr>
          <w:t xml:space="preserve"> Schmidt’s</w:t>
        </w:r>
        <w:r w:rsidRPr="00791DE5">
          <w:rPr>
            <w:rFonts w:ascii="Times New Roman" w:hAnsi="Times New Roman"/>
            <w:noProof/>
            <w:sz w:val="24"/>
            <w:szCs w:val="24"/>
          </w:rPr>
          <w:t xml:space="preserve"> </w:t>
        </w:r>
        <w:r>
          <w:rPr>
            <w:rFonts w:ascii="Times New Roman" w:hAnsi="Times New Roman"/>
            <w:noProof/>
            <w:sz w:val="24"/>
            <w:szCs w:val="24"/>
          </w:rPr>
          <w:t>(</w:t>
        </w:r>
        <w:r w:rsidRPr="00791DE5">
          <w:rPr>
            <w:rFonts w:ascii="Times New Roman" w:hAnsi="Times New Roman"/>
            <w:noProof/>
            <w:sz w:val="24"/>
            <w:szCs w:val="24"/>
          </w:rPr>
          <w:t>2004</w:t>
        </w:r>
      </w:hyperlink>
      <w:r>
        <w:rPr>
          <w:rFonts w:ascii="Times New Roman" w:hAnsi="Times New Roman"/>
          <w:noProof/>
          <w:sz w:val="24"/>
          <w:szCs w:val="24"/>
        </w:rPr>
        <w:t>: 437)</w:t>
      </w:r>
      <w:r>
        <w:rPr>
          <w:rFonts w:ascii="Times New Roman" w:hAnsi="Times New Roman"/>
          <w:sz w:val="24"/>
          <w:szCs w:val="24"/>
        </w:rPr>
        <w:t xml:space="preserve"> </w:t>
      </w:r>
      <w:r w:rsidRPr="00791DE5">
        <w:rPr>
          <w:rFonts w:ascii="Times New Roman" w:hAnsi="Times New Roman"/>
          <w:sz w:val="24"/>
          <w:szCs w:val="24"/>
        </w:rPr>
        <w:t>linear composite correlation</w:t>
      </w:r>
      <w:r w:rsidR="001306A6">
        <w:rPr>
          <w:rFonts w:ascii="Times New Roman" w:hAnsi="Times New Roman"/>
          <w:sz w:val="24"/>
          <w:szCs w:val="24"/>
        </w:rPr>
        <w:t>.</w:t>
      </w:r>
      <w:r w:rsidR="008B3F10" w:rsidRPr="008B3F10">
        <w:rPr>
          <w:rFonts w:ascii="Times New Roman" w:hAnsi="Times New Roman"/>
          <w:sz w:val="24"/>
          <w:szCs w:val="24"/>
          <w:vertAlign w:val="superscript"/>
        </w:rPr>
        <w:t>1</w:t>
      </w:r>
      <w:r w:rsidRPr="00791DE5">
        <w:rPr>
          <w:rFonts w:ascii="Times New Roman" w:hAnsi="Times New Roman"/>
          <w:sz w:val="24"/>
          <w:szCs w:val="24"/>
        </w:rPr>
        <w:t xml:space="preserve"> </w:t>
      </w:r>
      <w:r w:rsidR="00C135C6">
        <w:rPr>
          <w:rFonts w:ascii="Times New Roman" w:hAnsi="Times New Roman"/>
          <w:sz w:val="24"/>
          <w:szCs w:val="24"/>
        </w:rPr>
        <w:t xml:space="preserve">Of the 85 effect sizes included </w:t>
      </w:r>
      <w:r w:rsidR="00C135C6">
        <w:rPr>
          <w:rFonts w:ascii="Times New Roman" w:hAnsi="Times New Roman"/>
          <w:sz w:val="24"/>
          <w:szCs w:val="24"/>
        </w:rPr>
        <w:lastRenderedPageBreak/>
        <w:t>in this meta-analysis, 2</w:t>
      </w:r>
      <w:r w:rsidR="003313CD">
        <w:rPr>
          <w:rFonts w:ascii="Times New Roman" w:hAnsi="Times New Roman"/>
          <w:sz w:val="24"/>
          <w:szCs w:val="24"/>
        </w:rPr>
        <w:t>5</w:t>
      </w:r>
      <w:r w:rsidR="00C135C6">
        <w:rPr>
          <w:rFonts w:ascii="Times New Roman" w:hAnsi="Times New Roman"/>
          <w:sz w:val="24"/>
          <w:szCs w:val="24"/>
        </w:rPr>
        <w:t xml:space="preserve"> of them are linear composite correlations. </w:t>
      </w:r>
      <w:r w:rsidR="0012019D">
        <w:rPr>
          <w:rFonts w:ascii="Times New Roman" w:hAnsi="Times New Roman"/>
          <w:sz w:val="24"/>
          <w:szCs w:val="24"/>
        </w:rPr>
        <w:t>Also, i</w:t>
      </w:r>
      <w:r w:rsidR="00C60539">
        <w:rPr>
          <w:rFonts w:ascii="Times New Roman" w:hAnsi="Times New Roman"/>
          <w:sz w:val="24"/>
          <w:szCs w:val="24"/>
        </w:rPr>
        <w:t>f</w:t>
      </w:r>
      <w:r w:rsidR="00C60539" w:rsidRPr="00791DE5">
        <w:rPr>
          <w:rFonts w:ascii="Times New Roman" w:hAnsi="Times New Roman"/>
          <w:sz w:val="24"/>
          <w:szCs w:val="24"/>
        </w:rPr>
        <w:t xml:space="preserve"> </w:t>
      </w:r>
      <w:r w:rsidRPr="00791DE5">
        <w:rPr>
          <w:rFonts w:ascii="Times New Roman" w:hAnsi="Times New Roman"/>
          <w:sz w:val="24"/>
          <w:szCs w:val="24"/>
        </w:rPr>
        <w:t xml:space="preserve">the sample was the same across studies reporting correlation coefficients between perceived gender discrimination and the same outcome category, we treated these studies as a single study by aggregating the </w:t>
      </w:r>
      <w:r>
        <w:rPr>
          <w:rFonts w:ascii="Times New Roman" w:hAnsi="Times New Roman"/>
          <w:sz w:val="24"/>
          <w:szCs w:val="24"/>
        </w:rPr>
        <w:t>correlations</w:t>
      </w:r>
      <w:r w:rsidRPr="00791DE5">
        <w:rPr>
          <w:rFonts w:ascii="Times New Roman" w:hAnsi="Times New Roman"/>
          <w:sz w:val="24"/>
          <w:szCs w:val="24"/>
        </w:rPr>
        <w:t xml:space="preserve"> and measurement error estimates reported. These steps ensure</w:t>
      </w:r>
      <w:r w:rsidR="0012019D">
        <w:rPr>
          <w:rFonts w:ascii="Times New Roman" w:hAnsi="Times New Roman"/>
          <w:sz w:val="24"/>
          <w:szCs w:val="24"/>
        </w:rPr>
        <w:t>d</w:t>
      </w:r>
      <w:r w:rsidRPr="00791DE5">
        <w:rPr>
          <w:rFonts w:ascii="Times New Roman" w:hAnsi="Times New Roman"/>
          <w:sz w:val="24"/>
          <w:szCs w:val="24"/>
        </w:rPr>
        <w:t xml:space="preserve"> independence in </w:t>
      </w:r>
      <w:r>
        <w:rPr>
          <w:rFonts w:ascii="Times New Roman" w:hAnsi="Times New Roman"/>
          <w:sz w:val="24"/>
          <w:szCs w:val="24"/>
        </w:rPr>
        <w:t>correlations (Wood, 2008)</w:t>
      </w:r>
      <w:r w:rsidRPr="00791DE5">
        <w:rPr>
          <w:rFonts w:ascii="Times New Roman" w:hAnsi="Times New Roman"/>
          <w:sz w:val="24"/>
          <w:szCs w:val="24"/>
        </w:rPr>
        <w:t xml:space="preserve">. We also reversed </w:t>
      </w:r>
      <w:r w:rsidR="0012019D">
        <w:rPr>
          <w:rFonts w:ascii="Times New Roman" w:hAnsi="Times New Roman"/>
          <w:sz w:val="24"/>
          <w:szCs w:val="24"/>
        </w:rPr>
        <w:t xml:space="preserve">relevant </w:t>
      </w:r>
      <w:r w:rsidRPr="00791DE5">
        <w:rPr>
          <w:rFonts w:ascii="Times New Roman" w:hAnsi="Times New Roman"/>
          <w:sz w:val="24"/>
          <w:szCs w:val="24"/>
        </w:rPr>
        <w:t xml:space="preserve">correlation coefficients to ensure that </w:t>
      </w:r>
      <w:r>
        <w:rPr>
          <w:rFonts w:ascii="Times New Roman" w:hAnsi="Times New Roman"/>
          <w:sz w:val="24"/>
          <w:szCs w:val="24"/>
        </w:rPr>
        <w:t>correlations</w:t>
      </w:r>
      <w:r w:rsidRPr="00791DE5">
        <w:rPr>
          <w:rFonts w:ascii="Times New Roman" w:hAnsi="Times New Roman"/>
          <w:sz w:val="24"/>
          <w:szCs w:val="24"/>
        </w:rPr>
        <w:t xml:space="preserve"> within an outcome category were </w:t>
      </w:r>
      <w:r w:rsidR="002765AF">
        <w:rPr>
          <w:rFonts w:ascii="Times New Roman" w:hAnsi="Times New Roman"/>
          <w:sz w:val="24"/>
          <w:szCs w:val="24"/>
        </w:rPr>
        <w:t xml:space="preserve">coded </w:t>
      </w:r>
      <w:r w:rsidRPr="00791DE5">
        <w:rPr>
          <w:rFonts w:ascii="Times New Roman" w:hAnsi="Times New Roman"/>
          <w:sz w:val="24"/>
          <w:szCs w:val="24"/>
        </w:rPr>
        <w:t xml:space="preserve">in a consistent direction. </w:t>
      </w:r>
    </w:p>
    <w:p w14:paraId="2215AD8F" w14:textId="47A3D58F" w:rsidR="00FB6CE3" w:rsidRDefault="00FB6CE3" w:rsidP="00F22F95">
      <w:pPr>
        <w:widowControl w:val="0"/>
        <w:suppressAutoHyphens w:val="0"/>
        <w:spacing w:line="480" w:lineRule="auto"/>
        <w:ind w:firstLine="720"/>
      </w:pPr>
      <w:r>
        <w:t>To conduct the moderator analyses, we coded the country from which the sample of respondents had been drawn for each correlation coefficient. Ten different countries are represented in our analysis</w:t>
      </w:r>
      <w:r w:rsidR="00D72DD9">
        <w:t xml:space="preserve"> (see Appendix </w:t>
      </w:r>
      <w:r w:rsidR="0030481E">
        <w:t>C</w:t>
      </w:r>
      <w:r w:rsidR="00D72DD9">
        <w:t xml:space="preserve"> in the online supplement</w:t>
      </w:r>
      <w:r w:rsidR="00D72DD9" w:rsidRPr="00CA7B9A">
        <w:t>)</w:t>
      </w:r>
      <w:r w:rsidRPr="00CA7B9A">
        <w:t>. Of our 8</w:t>
      </w:r>
      <w:r w:rsidR="00CA7B9A" w:rsidRPr="00CA7B9A">
        <w:t>5</w:t>
      </w:r>
      <w:r w:rsidRPr="00CA7B9A">
        <w:t xml:space="preserve"> correlations, </w:t>
      </w:r>
      <w:r w:rsidR="00CA7B9A" w:rsidRPr="00CA7B9A">
        <w:t>30</w:t>
      </w:r>
      <w:r w:rsidRPr="00CA7B9A">
        <w:t xml:space="preserve"> c</w:t>
      </w:r>
      <w:r w:rsidR="008A3632" w:rsidRPr="00CA7B9A">
        <w:t>a</w:t>
      </w:r>
      <w:r w:rsidRPr="00CA7B9A">
        <w:t>me from non-U.S. countries.</w:t>
      </w:r>
      <w:r w:rsidR="00F71BD0">
        <w:t xml:space="preserve"> </w:t>
      </w:r>
      <w:r>
        <w:t>For each country, we coded the breadth of integration and stringency of enforcement of gender equity in labor policies and practices from the Women’s Economic Opportunity Index (WEOI; Economist Intelligence Unit, 2012)</w:t>
      </w:r>
      <w:r w:rsidR="00D66066">
        <w:t>.</w:t>
      </w:r>
      <w:r>
        <w:t xml:space="preserve"> The WEOI was developed by the Economist Intelligence Unit and the World Bank in 2010</w:t>
      </w:r>
      <w:r w:rsidR="008A3632">
        <w:t>, with the most recent version published in 2012</w:t>
      </w:r>
      <w:r>
        <w:t xml:space="preserve">. </w:t>
      </w:r>
      <w:r w:rsidR="00D66066">
        <w:t>It</w:t>
      </w:r>
      <w:r>
        <w:t xml:space="preserve"> is based on secondary data across 128 countries on factors underlying disparities in women’s economic advancement. </w:t>
      </w:r>
      <w:r w:rsidR="008A3632">
        <w:t>It</w:t>
      </w:r>
      <w:r>
        <w:t xml:space="preserve"> is composed of 29 indicators grouped within five sub-indices that measure enablers/disablers of female economic participation. The labor policy sub-index is scaled from 0 to 100, with 100 being most favorable to women. It is composed of an unweighted mean of five indicators that capture the extent to which the country has integrated the International Labor Organization’s (ILO) conventions on equal pay for equal work and non-discrimination, established provisions on mandatory and publicly funded maternity leave, </w:t>
      </w:r>
      <w:r w:rsidR="00D66066">
        <w:t>legally restricted a</w:t>
      </w:r>
      <w:r>
        <w:t xml:space="preserve"> wom</w:t>
      </w:r>
      <w:r w:rsidR="00D66066">
        <w:t>a</w:t>
      </w:r>
      <w:r>
        <w:t>n’s ability to work in certain occupations (reverse coded), and gender differences in the statutory retirement age (reverse coded). The labor practice sub-index, also scaled from 0 to 100, with 100 being most favorable</w:t>
      </w:r>
      <w:r w:rsidR="00D66066">
        <w:t xml:space="preserve"> </w:t>
      </w:r>
      <w:r w:rsidR="00D66066">
        <w:lastRenderedPageBreak/>
        <w:t>for women</w:t>
      </w:r>
      <w:r>
        <w:t xml:space="preserve">, is composed of an unweighted mean of four indicators that capture the extent to which the country has enforced the ILO’s conventions on equal pay for equal work and non-discrimination, women </w:t>
      </w:r>
      <w:r w:rsidR="009E3025">
        <w:t xml:space="preserve">in the country </w:t>
      </w:r>
      <w:r>
        <w:t xml:space="preserve">are able to ascend to leadership positions in business, and </w:t>
      </w:r>
      <w:r w:rsidR="009E3025">
        <w:t xml:space="preserve">the country makes </w:t>
      </w:r>
      <w:r>
        <w:t>availab</w:t>
      </w:r>
      <w:r w:rsidR="009E3025">
        <w:t>le</w:t>
      </w:r>
      <w:r>
        <w:t xml:space="preserve"> affordable, high</w:t>
      </w:r>
      <w:r w:rsidR="00D705B2">
        <w:t>-</w:t>
      </w:r>
      <w:r>
        <w:t>quality childcare services</w:t>
      </w:r>
      <w:r w:rsidR="00D705B2">
        <w:t>,</w:t>
      </w:r>
      <w:r>
        <w:t xml:space="preserve"> as well as the willingness of extended family to provide childcare (which would otherwise represent unpaid work that would fall on women). </w:t>
      </w:r>
      <w:r w:rsidR="00F22F95">
        <w:t>We averaged the labor policy and labor practice sub-indices to obtain a score for each country’s labor policy integration and labor practice enforcement.</w:t>
      </w:r>
    </w:p>
    <w:p w14:paraId="34B00CC9" w14:textId="77777777" w:rsidR="00FB6CE3" w:rsidRDefault="00D66066" w:rsidP="001515D2">
      <w:pPr>
        <w:widowControl w:val="0"/>
        <w:suppressAutoHyphens w:val="0"/>
        <w:spacing w:line="480" w:lineRule="auto"/>
        <w:ind w:firstLine="720"/>
      </w:pPr>
      <w:r>
        <w:t>We coded gender egalitarianism national cultural practice scores for each country from the GLOBE data</w:t>
      </w:r>
      <w:r w:rsidR="009E3025">
        <w:t>, which includes responses from over 17,000 managers from close to 1,000 organizations spanning three different industries across 62 countries collected once between 2000 and 2004</w:t>
      </w:r>
      <w:r>
        <w:t xml:space="preserve"> (House et al., 2004). </w:t>
      </w:r>
      <w:r w:rsidR="00FB6CE3">
        <w:t>Based on a scale f</w:t>
      </w:r>
      <w:r w:rsidR="002765AF">
        <w:t>rom</w:t>
      </w:r>
      <w:r w:rsidR="00FB6CE3">
        <w:t xml:space="preserve"> 1 to 7, gender egalitarianism national cultural practice scores vary from strongly</w:t>
      </w:r>
      <w:r w:rsidR="00227BF7">
        <w:t>-</w:t>
      </w:r>
      <w:r w:rsidR="00FB6CE3">
        <w:t>emphasized male domination in gender roles (1) to strongly</w:t>
      </w:r>
      <w:r w:rsidR="00227BF7">
        <w:t>-</w:t>
      </w:r>
      <w:r w:rsidR="00FB6CE3">
        <w:t xml:space="preserve">emphasized female domination in gender roles (7). A score of 4, implying equal opportunity in roles regardless of gender, serves as a conceptual optimum. </w:t>
      </w:r>
    </w:p>
    <w:p w14:paraId="60E73995" w14:textId="285755A3" w:rsidR="00FB6CE3" w:rsidRDefault="00F22F95" w:rsidP="001515D2">
      <w:pPr>
        <w:widowControl w:val="0"/>
        <w:suppressAutoHyphens w:val="0"/>
        <w:spacing w:line="480" w:lineRule="auto"/>
        <w:ind w:firstLine="720"/>
      </w:pPr>
      <w:r>
        <w:t xml:space="preserve">The scores for the countries covered in our sample are included in Appendix </w:t>
      </w:r>
      <w:r w:rsidR="0030481E">
        <w:t>C</w:t>
      </w:r>
      <w:r>
        <w:t xml:space="preserve"> of the online supplement. </w:t>
      </w:r>
      <w:r w:rsidR="00FB6CE3">
        <w:t>Since the WEOI index has only been published twice (2010 and 2012) and GLOBE (</w:t>
      </w:r>
      <w:r w:rsidR="00A65ACC">
        <w:t>like</w:t>
      </w:r>
      <w:r w:rsidR="00FB6CE3">
        <w:t xml:space="preserve"> other national culture indices, e.g.</w:t>
      </w:r>
      <w:r w:rsidR="008B3F10">
        <w:t>,</w:t>
      </w:r>
      <w:r w:rsidR="00FB6CE3">
        <w:t xml:space="preserve"> Hofstede, Schwartz) collected </w:t>
      </w:r>
      <w:r w:rsidR="009E3025">
        <w:t>its data</w:t>
      </w:r>
      <w:r w:rsidR="00FB6CE3">
        <w:t xml:space="preserve"> at a single point in time, they cannot be matched to </w:t>
      </w:r>
      <w:r w:rsidR="00D72DD9">
        <w:t>study publication</w:t>
      </w:r>
      <w:r w:rsidR="00FB6CE3">
        <w:t xml:space="preserve"> year.</w:t>
      </w:r>
      <w:r w:rsidR="008B3F10">
        <w:rPr>
          <w:vertAlign w:val="superscript"/>
        </w:rPr>
        <w:t>2</w:t>
      </w:r>
      <w:r w:rsidR="00341AC1">
        <w:t xml:space="preserve"> </w:t>
      </w:r>
      <w:r w:rsidR="00FB6CE3">
        <w:t xml:space="preserve">However, our hypotheses examine whether between-country differences in </w:t>
      </w:r>
      <w:r w:rsidR="00D10834">
        <w:t>these two moderator</w:t>
      </w:r>
      <w:r w:rsidR="00D72DD9">
        <w:t>s</w:t>
      </w:r>
      <w:r w:rsidR="00A65ACC">
        <w:t xml:space="preserve"> influence</w:t>
      </w:r>
      <w:r w:rsidR="00FB6CE3">
        <w:t xml:space="preserve"> the magnitude of the perceived workplace gender discrimination-outcome relationship </w:t>
      </w:r>
      <w:r w:rsidR="00247C1A">
        <w:t>across countries</w:t>
      </w:r>
      <w:r w:rsidR="009D06A9">
        <w:t xml:space="preserve">, not whether </w:t>
      </w:r>
      <w:r w:rsidR="00FB6CE3">
        <w:t>longitudinal changes to these factors influence th</w:t>
      </w:r>
      <w:r w:rsidR="009D06A9">
        <w:t xml:space="preserve">e </w:t>
      </w:r>
      <w:r w:rsidR="00FB6CE3">
        <w:t>relationship within the country over time</w:t>
      </w:r>
      <w:r w:rsidR="00D1590C">
        <w:t>. Thus</w:t>
      </w:r>
      <w:r w:rsidR="00FB6CE3">
        <w:t>, we use the most recent country mean scores for all country-level moderator variables. In our sample, the</w:t>
      </w:r>
      <w:r w:rsidR="001D0154">
        <w:t>se</w:t>
      </w:r>
      <w:r w:rsidR="00FB6CE3">
        <w:t xml:space="preserve"> were not significantly correlated with </w:t>
      </w:r>
      <w:r w:rsidR="00D72DD9">
        <w:t>study</w:t>
      </w:r>
      <w:r w:rsidR="00FB6CE3">
        <w:t xml:space="preserve"> year of publication </w:t>
      </w:r>
      <w:r w:rsidR="00247C1A">
        <w:lastRenderedPageBreak/>
        <w:t>(</w:t>
      </w:r>
      <w:proofErr w:type="spellStart"/>
      <w:r w:rsidR="00247C1A" w:rsidRPr="00DF7082">
        <w:rPr>
          <w:i/>
        </w:rPr>
        <w:t>r</w:t>
      </w:r>
      <w:r w:rsidR="00247C1A" w:rsidRPr="00395504">
        <w:rPr>
          <w:i/>
          <w:vertAlign w:val="subscript"/>
        </w:rPr>
        <w:t>gender</w:t>
      </w:r>
      <w:proofErr w:type="spellEnd"/>
      <w:r w:rsidR="00247C1A" w:rsidRPr="00395504">
        <w:rPr>
          <w:i/>
          <w:vertAlign w:val="subscript"/>
        </w:rPr>
        <w:t xml:space="preserve"> egalitarianism</w:t>
      </w:r>
      <w:r w:rsidR="00247C1A" w:rsidRPr="00395504">
        <w:rPr>
          <w:vertAlign w:val="subscript"/>
        </w:rPr>
        <w:t xml:space="preserve"> </w:t>
      </w:r>
      <w:r w:rsidR="00247C1A">
        <w:t xml:space="preserve">= </w:t>
      </w:r>
      <w:r w:rsidR="00ED0748">
        <w:t>-.26</w:t>
      </w:r>
      <w:r w:rsidR="00247C1A">
        <w:t xml:space="preserve">, </w:t>
      </w:r>
      <w:r w:rsidR="00247C1A" w:rsidRPr="00DF7082">
        <w:rPr>
          <w:i/>
        </w:rPr>
        <w:t>p</w:t>
      </w:r>
      <w:r w:rsidR="00247C1A">
        <w:t xml:space="preserve"> = .</w:t>
      </w:r>
      <w:r w:rsidR="00ED0748">
        <w:t>09</w:t>
      </w:r>
      <w:r w:rsidR="00247967">
        <w:t>4</w:t>
      </w:r>
      <w:r w:rsidR="00247C1A">
        <w:t xml:space="preserve">; </w:t>
      </w:r>
      <w:proofErr w:type="spellStart"/>
      <w:r w:rsidR="00247C1A" w:rsidRPr="00DF7082">
        <w:rPr>
          <w:i/>
        </w:rPr>
        <w:t>r</w:t>
      </w:r>
      <w:r w:rsidR="00247C1A" w:rsidRPr="00395504">
        <w:rPr>
          <w:i/>
          <w:vertAlign w:val="subscript"/>
        </w:rPr>
        <w:t>labor</w:t>
      </w:r>
      <w:proofErr w:type="spellEnd"/>
      <w:r w:rsidR="00247C1A" w:rsidRPr="00395504">
        <w:rPr>
          <w:i/>
          <w:vertAlign w:val="subscript"/>
        </w:rPr>
        <w:t xml:space="preserve"> practice/policy index</w:t>
      </w:r>
      <w:r w:rsidR="00247C1A" w:rsidRPr="00395504">
        <w:rPr>
          <w:vertAlign w:val="subscript"/>
        </w:rPr>
        <w:t xml:space="preserve"> </w:t>
      </w:r>
      <w:r w:rsidR="00247C1A">
        <w:t xml:space="preserve">= </w:t>
      </w:r>
      <w:r w:rsidR="00ED0748">
        <w:t>-</w:t>
      </w:r>
      <w:r w:rsidR="00247C1A">
        <w:t>.</w:t>
      </w:r>
      <w:r w:rsidR="00ED0748">
        <w:t>16</w:t>
      </w:r>
      <w:r w:rsidR="00247C1A">
        <w:t xml:space="preserve">, </w:t>
      </w:r>
      <w:r w:rsidR="00247C1A" w:rsidRPr="00DF7082">
        <w:rPr>
          <w:i/>
        </w:rPr>
        <w:t>p</w:t>
      </w:r>
      <w:r w:rsidR="00247C1A">
        <w:t xml:space="preserve"> =</w:t>
      </w:r>
      <w:r w:rsidR="00ED0748">
        <w:t xml:space="preserve"> </w:t>
      </w:r>
      <w:r w:rsidR="00247C1A">
        <w:t>.</w:t>
      </w:r>
      <w:r w:rsidR="00247967">
        <w:t>295</w:t>
      </w:r>
      <w:r w:rsidR="00247C1A">
        <w:t>)</w:t>
      </w:r>
      <w:r w:rsidR="00FB6CE3">
        <w:t>.</w:t>
      </w:r>
      <w:r>
        <w:t xml:space="preserve"> </w:t>
      </w:r>
    </w:p>
    <w:p w14:paraId="2198FCAC" w14:textId="0A30F470" w:rsidR="00FB6CE3" w:rsidRDefault="00FB6CE3" w:rsidP="0067294E">
      <w:pPr>
        <w:widowControl w:val="0"/>
        <w:suppressAutoHyphens w:val="0"/>
        <w:spacing w:line="480" w:lineRule="auto"/>
        <w:ind w:firstLine="720"/>
      </w:pPr>
      <w:r>
        <w:t>In our sample, China scored the lowest on labor policy (47.</w:t>
      </w:r>
      <w:r w:rsidR="00452202">
        <w:t>7</w:t>
      </w:r>
      <w:r>
        <w:t>8) and on labor practice (39.</w:t>
      </w:r>
      <w:r w:rsidR="00452202">
        <w:t>48</w:t>
      </w:r>
      <w:r>
        <w:t>), while Norway scored the highest on labor policy (93.3</w:t>
      </w:r>
      <w:r w:rsidR="00452202">
        <w:t>3</w:t>
      </w:r>
      <w:r>
        <w:t>), indicating the broadest integration of gender equity in labor laws, and on labor practice (87.5</w:t>
      </w:r>
      <w:r w:rsidR="00452202">
        <w:t>0</w:t>
      </w:r>
      <w:r>
        <w:t>), indicating the most stringent legal enforcement of gender equity. According to GLOBE (House et al., 2004), South Korea scored 2.5</w:t>
      </w:r>
      <w:r w:rsidR="00452202">
        <w:t>0</w:t>
      </w:r>
      <w:r>
        <w:t>, exhibiting the least gender egalitarian cultural practices in our sample, and Canada scored 3.7</w:t>
      </w:r>
      <w:r w:rsidR="00452202">
        <w:t>0</w:t>
      </w:r>
      <w:r>
        <w:t xml:space="preserve">, exhibiting the most gender egalitarian cultural practices. The scores for the remaining countries covered in our sample are included in Appendix </w:t>
      </w:r>
      <w:r w:rsidR="00255E79">
        <w:t xml:space="preserve">C </w:t>
      </w:r>
      <w:r>
        <w:t xml:space="preserve">of the online supplement. </w:t>
      </w:r>
    </w:p>
    <w:p w14:paraId="05220969" w14:textId="77777777" w:rsidR="00FB6CE3" w:rsidRDefault="00FB6CE3" w:rsidP="00972A82">
      <w:pPr>
        <w:widowControl w:val="0"/>
        <w:suppressAutoHyphens w:val="0"/>
        <w:spacing w:line="480" w:lineRule="auto"/>
        <w:ind w:firstLine="720"/>
      </w:pPr>
      <w:r>
        <w:t xml:space="preserve">Consistent with our theoretical arguments, we used </w:t>
      </w:r>
      <w:r w:rsidR="00234397">
        <w:t>the</w:t>
      </w:r>
      <w:r>
        <w:t xml:space="preserve"> median </w:t>
      </w:r>
      <w:r w:rsidR="00234397">
        <w:t>score for labor policy integration and practice enforcement as a cutoff to create high and low groups</w:t>
      </w:r>
      <w:r>
        <w:t xml:space="preserve"> </w:t>
      </w:r>
      <w:r w:rsidR="00234397">
        <w:t xml:space="preserve">of </w:t>
      </w:r>
      <w:r>
        <w:t xml:space="preserve">effect sizes. Effect sizes from countries with values at or below the median for </w:t>
      </w:r>
      <w:r w:rsidR="00BB6032">
        <w:t>labor policy integration and practice enforcement</w:t>
      </w:r>
      <w:r>
        <w:t xml:space="preserve"> were included in the “low” category while effect sizes with values above the median were included in the “high” category. </w:t>
      </w:r>
      <w:r w:rsidR="00F22F95">
        <w:t>To categorize levels of gender egalitarianism, w</w:t>
      </w:r>
      <w:r>
        <w:t xml:space="preserve">e used bands defined by GLOBE. GLOBE placed each country into Band A, B, or C in descending order of scores on gender egalitarianism. Studies using multi-country samples were excluded from the moderator analyses. </w:t>
      </w:r>
    </w:p>
    <w:p w14:paraId="05CFBA18" w14:textId="77777777" w:rsidR="00FB6CE3" w:rsidRPr="002A215E" w:rsidRDefault="00FB6CE3" w:rsidP="001515D2">
      <w:pPr>
        <w:widowControl w:val="0"/>
        <w:suppressAutoHyphens w:val="0"/>
        <w:spacing w:line="480" w:lineRule="auto"/>
        <w:ind w:firstLine="720"/>
      </w:pPr>
      <w:r>
        <w:t xml:space="preserve">Two of the authors coded </w:t>
      </w:r>
      <w:r w:rsidR="00B76CA1">
        <w:t xml:space="preserve">each </w:t>
      </w:r>
      <w:r>
        <w:t>stud</w:t>
      </w:r>
      <w:r w:rsidR="00B76CA1">
        <w:t>y</w:t>
      </w:r>
      <w:r>
        <w:t>. Average i</w:t>
      </w:r>
      <w:r w:rsidRPr="002A215E">
        <w:t>nter-rater agreement</w:t>
      </w:r>
      <w:r w:rsidR="00972A82">
        <w:t xml:space="preserve"> on key variables</w:t>
      </w:r>
      <w:r w:rsidRPr="002A215E">
        <w:t xml:space="preserve"> was </w:t>
      </w:r>
      <w:r>
        <w:t xml:space="preserve">high (Cohen’s Kappa = .98). </w:t>
      </w:r>
      <w:r w:rsidR="00BB2CB7" w:rsidRPr="005C2DEB">
        <w:t xml:space="preserve">All disagreements </w:t>
      </w:r>
      <w:r w:rsidRPr="002A215E">
        <w:t>were resolved through discussion</w:t>
      </w:r>
      <w:r>
        <w:t>.</w:t>
      </w:r>
      <w:r w:rsidRPr="002A215E">
        <w:t xml:space="preserve"> </w:t>
      </w:r>
    </w:p>
    <w:p w14:paraId="0D22DFFF" w14:textId="77777777" w:rsidR="00FB6CE3" w:rsidRPr="0007627B" w:rsidRDefault="00FB6CE3" w:rsidP="001515D2">
      <w:pPr>
        <w:widowControl w:val="0"/>
        <w:suppressAutoHyphens w:val="0"/>
        <w:spacing w:line="480" w:lineRule="auto"/>
        <w:rPr>
          <w:b/>
        </w:rPr>
      </w:pPr>
      <w:r w:rsidRPr="0007627B">
        <w:rPr>
          <w:b/>
        </w:rPr>
        <w:t>Analyses</w:t>
      </w:r>
    </w:p>
    <w:p w14:paraId="0DF7F2BC" w14:textId="77777777" w:rsidR="00FB6CE3" w:rsidRPr="00F8322D" w:rsidRDefault="00FB6CE3" w:rsidP="002A030F">
      <w:pPr>
        <w:pStyle w:val="PlainText"/>
        <w:widowControl w:val="0"/>
        <w:spacing w:line="480" w:lineRule="auto"/>
        <w:ind w:firstLine="720"/>
        <w:rPr>
          <w:rFonts w:ascii="Times New Roman" w:hAnsi="Times New Roman"/>
          <w:sz w:val="24"/>
          <w:szCs w:val="24"/>
        </w:rPr>
      </w:pPr>
      <w:r w:rsidRPr="005C2DEB">
        <w:rPr>
          <w:rFonts w:ascii="Times New Roman" w:hAnsi="Times New Roman"/>
          <w:sz w:val="24"/>
          <w:szCs w:val="24"/>
        </w:rPr>
        <w:t xml:space="preserve">We </w:t>
      </w:r>
      <w:r w:rsidR="00752C26">
        <w:rPr>
          <w:rFonts w:ascii="Times New Roman" w:hAnsi="Times New Roman"/>
          <w:sz w:val="24"/>
          <w:szCs w:val="24"/>
        </w:rPr>
        <w:t>followed</w:t>
      </w:r>
      <w:r w:rsidRPr="005C2DEB">
        <w:rPr>
          <w:rFonts w:ascii="Times New Roman" w:hAnsi="Times New Roman"/>
          <w:sz w:val="24"/>
          <w:szCs w:val="24"/>
        </w:rPr>
        <w:t xml:space="preserve"> Hunter and Schmidt</w:t>
      </w:r>
      <w:r w:rsidR="00752C26">
        <w:rPr>
          <w:rFonts w:ascii="Times New Roman" w:hAnsi="Times New Roman"/>
          <w:sz w:val="24"/>
          <w:szCs w:val="24"/>
        </w:rPr>
        <w:t>’s</w:t>
      </w:r>
      <w:r w:rsidRPr="005C2DEB">
        <w:rPr>
          <w:rFonts w:ascii="Times New Roman" w:hAnsi="Times New Roman"/>
          <w:sz w:val="24"/>
          <w:szCs w:val="24"/>
        </w:rPr>
        <w:t xml:space="preserve"> (2004) meta-analytic technique to calculate a sample-size weighted observed correlation coefficient (</w:t>
      </w:r>
      <m:oMath>
        <m:acc>
          <m:accPr>
            <m:chr m:val="̅"/>
            <m:ctrlPr>
              <w:rPr>
                <w:rFonts w:ascii="Cambria Math" w:hAnsi="Cambria Math"/>
                <w:i/>
                <w:sz w:val="24"/>
                <w:szCs w:val="24"/>
              </w:rPr>
            </m:ctrlPr>
          </m:accPr>
          <m:e>
            <m:r>
              <w:rPr>
                <w:rFonts w:ascii="Cambria Math" w:hAnsi="Cambria Math"/>
                <w:sz w:val="24"/>
                <w:szCs w:val="24"/>
              </w:rPr>
              <m:t>r</m:t>
            </m:r>
          </m:e>
        </m:acc>
      </m:oMath>
      <w:r w:rsidRPr="005C2DEB">
        <w:rPr>
          <w:rFonts w:ascii="Times New Roman" w:hAnsi="Times New Roman"/>
          <w:sz w:val="24"/>
          <w:szCs w:val="24"/>
        </w:rPr>
        <w:t xml:space="preserve">) for each </w:t>
      </w:r>
      <w:r w:rsidR="00682DA2">
        <w:rPr>
          <w:rFonts w:ascii="Times New Roman" w:hAnsi="Times New Roman"/>
          <w:sz w:val="24"/>
          <w:szCs w:val="24"/>
        </w:rPr>
        <w:t>outcome category</w:t>
      </w:r>
      <w:r w:rsidR="00D71D53">
        <w:rPr>
          <w:rFonts w:ascii="Times New Roman" w:hAnsi="Times New Roman"/>
          <w:sz w:val="24"/>
          <w:szCs w:val="24"/>
        </w:rPr>
        <w:t xml:space="preserve">. </w:t>
      </w:r>
      <w:r w:rsidR="00972A82">
        <w:rPr>
          <w:rFonts w:ascii="Times New Roman" w:hAnsi="Times New Roman"/>
          <w:sz w:val="24"/>
          <w:szCs w:val="24"/>
        </w:rPr>
        <w:t xml:space="preserve">To execute this technique, we </w:t>
      </w:r>
      <w:r w:rsidRPr="005C2DEB">
        <w:rPr>
          <w:rFonts w:ascii="Times New Roman" w:hAnsi="Times New Roman"/>
          <w:sz w:val="24"/>
          <w:szCs w:val="24"/>
        </w:rPr>
        <w:t>utiliz</w:t>
      </w:r>
      <w:r w:rsidR="00972A82">
        <w:rPr>
          <w:rFonts w:ascii="Times New Roman" w:hAnsi="Times New Roman"/>
          <w:sz w:val="24"/>
          <w:szCs w:val="24"/>
        </w:rPr>
        <w:t>ed</w:t>
      </w:r>
      <w:r w:rsidRPr="005C2DEB">
        <w:rPr>
          <w:rFonts w:ascii="Times New Roman" w:hAnsi="Times New Roman"/>
          <w:sz w:val="24"/>
          <w:szCs w:val="24"/>
        </w:rPr>
        <w:t xml:space="preserve"> the computer program developed</w:t>
      </w:r>
      <w:r w:rsidR="00972A82">
        <w:rPr>
          <w:rFonts w:ascii="Times New Roman" w:hAnsi="Times New Roman"/>
          <w:sz w:val="24"/>
          <w:szCs w:val="24"/>
        </w:rPr>
        <w:t xml:space="preserve"> b</w:t>
      </w:r>
      <w:r w:rsidRPr="005C2DEB">
        <w:rPr>
          <w:rFonts w:ascii="Times New Roman" w:hAnsi="Times New Roman"/>
          <w:sz w:val="24"/>
          <w:szCs w:val="24"/>
        </w:rPr>
        <w:t xml:space="preserve">y Arthur, Bennett, and </w:t>
      </w:r>
      <w:proofErr w:type="spellStart"/>
      <w:r w:rsidRPr="005C2DEB">
        <w:rPr>
          <w:rFonts w:ascii="Times New Roman" w:hAnsi="Times New Roman"/>
          <w:sz w:val="24"/>
          <w:szCs w:val="24"/>
        </w:rPr>
        <w:t>Huffcutt</w:t>
      </w:r>
      <w:proofErr w:type="spellEnd"/>
      <w:r w:rsidRPr="005C2DEB">
        <w:rPr>
          <w:rFonts w:ascii="Times New Roman" w:hAnsi="Times New Roman"/>
          <w:sz w:val="24"/>
          <w:szCs w:val="24"/>
        </w:rPr>
        <w:t xml:space="preserve"> (2001). We </w:t>
      </w:r>
      <w:r w:rsidR="0067294E" w:rsidRPr="005C2DEB">
        <w:rPr>
          <w:rFonts w:ascii="Times New Roman" w:hAnsi="Times New Roman"/>
          <w:sz w:val="24"/>
          <w:szCs w:val="24"/>
        </w:rPr>
        <w:t>used</w:t>
      </w:r>
      <w:r w:rsidRPr="005C2DEB">
        <w:rPr>
          <w:rFonts w:ascii="Times New Roman" w:hAnsi="Times New Roman"/>
          <w:sz w:val="24"/>
          <w:szCs w:val="24"/>
        </w:rPr>
        <w:t xml:space="preserve"> random effects models </w:t>
      </w:r>
      <w:r>
        <w:rPr>
          <w:rFonts w:ascii="Times New Roman" w:hAnsi="Times New Roman"/>
          <w:sz w:val="24"/>
          <w:szCs w:val="24"/>
        </w:rPr>
        <w:t>(</w:t>
      </w:r>
      <w:r w:rsidRPr="00F8322D">
        <w:rPr>
          <w:rFonts w:ascii="Times New Roman" w:hAnsi="Times New Roman"/>
          <w:sz w:val="24"/>
          <w:szCs w:val="24"/>
        </w:rPr>
        <w:t xml:space="preserve">Hunter </w:t>
      </w:r>
      <w:r>
        <w:rPr>
          <w:rFonts w:ascii="Times New Roman" w:hAnsi="Times New Roman"/>
          <w:sz w:val="24"/>
          <w:szCs w:val="24"/>
        </w:rPr>
        <w:t xml:space="preserve">&amp; Schmidt, 2004) to </w:t>
      </w:r>
      <w:r w:rsidRPr="00F8322D">
        <w:rPr>
          <w:rFonts w:ascii="Times New Roman" w:hAnsi="Times New Roman"/>
          <w:sz w:val="24"/>
          <w:szCs w:val="24"/>
        </w:rPr>
        <w:t xml:space="preserve">allow for the possibility that the </w:t>
      </w:r>
      <w:r w:rsidRPr="00F8322D">
        <w:rPr>
          <w:rFonts w:ascii="Times New Roman" w:hAnsi="Times New Roman"/>
          <w:sz w:val="24"/>
          <w:szCs w:val="24"/>
        </w:rPr>
        <w:lastRenderedPageBreak/>
        <w:t xml:space="preserve">population parameter values vary between the studies </w:t>
      </w:r>
      <w:r>
        <w:rPr>
          <w:rFonts w:ascii="Times New Roman" w:hAnsi="Times New Roman"/>
          <w:sz w:val="24"/>
          <w:szCs w:val="24"/>
        </w:rPr>
        <w:t xml:space="preserve">in our sample </w:t>
      </w:r>
      <w:r w:rsidR="00BA40F3">
        <w:rPr>
          <w:rFonts w:ascii="Times New Roman" w:hAnsi="Times New Roman"/>
          <w:sz w:val="24"/>
          <w:szCs w:val="24"/>
        </w:rPr>
        <w:t>because</w:t>
      </w:r>
      <w:r w:rsidRPr="00F8322D">
        <w:rPr>
          <w:rFonts w:ascii="Times New Roman" w:hAnsi="Times New Roman"/>
          <w:sz w:val="24"/>
          <w:szCs w:val="24"/>
        </w:rPr>
        <w:t xml:space="preserve"> </w:t>
      </w:r>
      <w:r w:rsidR="00B45A06">
        <w:rPr>
          <w:rFonts w:ascii="Times New Roman" w:hAnsi="Times New Roman"/>
          <w:sz w:val="24"/>
          <w:szCs w:val="24"/>
        </w:rPr>
        <w:t>they</w:t>
      </w:r>
      <w:r w:rsidRPr="00F8322D">
        <w:rPr>
          <w:rFonts w:ascii="Times New Roman" w:hAnsi="Times New Roman"/>
          <w:sz w:val="24"/>
          <w:szCs w:val="24"/>
        </w:rPr>
        <w:t xml:space="preserve"> come from different </w:t>
      </w:r>
      <w:r w:rsidR="00BB2CB7">
        <w:rPr>
          <w:rFonts w:ascii="Times New Roman" w:hAnsi="Times New Roman"/>
          <w:sz w:val="24"/>
          <w:szCs w:val="24"/>
        </w:rPr>
        <w:t>subpopulations (e.g.</w:t>
      </w:r>
      <w:r w:rsidR="00395504">
        <w:rPr>
          <w:rFonts w:ascii="Times New Roman" w:hAnsi="Times New Roman"/>
          <w:sz w:val="24"/>
          <w:szCs w:val="24"/>
        </w:rPr>
        <w:t>,</w:t>
      </w:r>
      <w:r w:rsidR="00BB2CB7">
        <w:rPr>
          <w:rFonts w:ascii="Times New Roman" w:hAnsi="Times New Roman"/>
          <w:sz w:val="24"/>
          <w:szCs w:val="24"/>
        </w:rPr>
        <w:t xml:space="preserve"> more</w:t>
      </w:r>
      <w:r w:rsidR="0067294E">
        <w:rPr>
          <w:rFonts w:ascii="Times New Roman" w:hAnsi="Times New Roman"/>
          <w:sz w:val="24"/>
          <w:szCs w:val="24"/>
        </w:rPr>
        <w:t>/less</w:t>
      </w:r>
      <w:r w:rsidR="00BB2CB7">
        <w:rPr>
          <w:rFonts w:ascii="Times New Roman" w:hAnsi="Times New Roman"/>
          <w:sz w:val="24"/>
          <w:szCs w:val="24"/>
        </w:rPr>
        <w:t xml:space="preserve"> gender egalitarian countries)</w:t>
      </w:r>
      <w:r w:rsidRPr="00F8322D">
        <w:rPr>
          <w:rFonts w:ascii="Times New Roman" w:hAnsi="Times New Roman"/>
          <w:sz w:val="24"/>
          <w:szCs w:val="24"/>
        </w:rPr>
        <w:t xml:space="preserve">. </w:t>
      </w:r>
    </w:p>
    <w:p w14:paraId="7C27D981" w14:textId="70930E1C" w:rsidR="00FB6CE3" w:rsidRPr="00CE7493" w:rsidRDefault="00FB6CE3" w:rsidP="001515D2">
      <w:pPr>
        <w:widowControl w:val="0"/>
        <w:suppressAutoHyphens w:val="0"/>
        <w:spacing w:line="480" w:lineRule="auto"/>
        <w:ind w:firstLine="720"/>
        <w:rPr>
          <w:bCs/>
        </w:rPr>
      </w:pPr>
      <w:r>
        <w:t>We calculated 95% confidence intervals around these sample-size weighted average correlations (</w:t>
      </w:r>
      <m:oMath>
        <m:acc>
          <m:accPr>
            <m:chr m:val="̅"/>
            <m:ctrlPr>
              <w:rPr>
                <w:rFonts w:ascii="Cambria Math" w:hAnsi="Cambria Math"/>
                <w:i/>
              </w:rPr>
            </m:ctrlPr>
          </m:accPr>
          <m:e>
            <m:r>
              <w:rPr>
                <w:rFonts w:ascii="Cambria Math" w:hAnsi="Cambria Math"/>
              </w:rPr>
              <m:t>r</m:t>
            </m:r>
          </m:e>
        </m:acc>
      </m:oMath>
      <w:r>
        <w:t>) to gauge the</w:t>
      </w:r>
      <w:r w:rsidR="0067294E">
        <w:t>ir</w:t>
      </w:r>
      <w:r>
        <w:t xml:space="preserve"> precision </w:t>
      </w:r>
      <w:r w:rsidR="00D3214A">
        <w:fldChar w:fldCharType="begin"/>
      </w:r>
      <w:r>
        <w:instrText xml:space="preserve"> ADDIN EN.CITE &lt;EndNote&gt;&lt;Cite&gt;&lt;Author&gt;Whitener&lt;/Author&gt;&lt;Year&gt;1990&lt;/Year&gt;&lt;RecNum&gt;42&lt;/RecNum&gt;&lt;DisplayText&gt;(Whitener, 1990)&lt;/DisplayText&gt;&lt;record&gt;&lt;rec-number&gt;42&lt;/rec-number&gt;&lt;foreign-keys&gt;&lt;key app="EN" db-id="t9sz59fsdaetpvea25gxtvxt0rxzzd0tveaw"&gt;42&lt;/key&gt;&lt;/foreign-keys&gt;&lt;ref-type name="Journal Article"&gt;17&lt;/ref-type&gt;&lt;contributors&gt;&lt;authors&gt;&lt;author&gt;Whitener, E.M.&lt;/author&gt;&lt;/authors&gt;&lt;/contributors&gt;&lt;titles&gt;&lt;title&gt;Confusion of confidence intervals and credibility intervals in meta-analysis&lt;/title&gt;&lt;secondary-title&gt;Journal of Applied Psychology&lt;/secondary-title&gt;&lt;/titles&gt;&lt;periodical&gt;&lt;full-title&gt;Journal of Applied Psychology&lt;/full-title&gt;&lt;/periodical&gt;&lt;pages&gt;315&lt;/pages&gt;&lt;volume&gt;75&lt;/volume&gt;&lt;number&gt;3&lt;/number&gt;&lt;dates&gt;&lt;year&gt;1990&lt;/year&gt;&lt;/dates&gt;&lt;isbn&gt;1939-1854&lt;/isbn&gt;&lt;urls&gt;&lt;/urls&gt;&lt;/record&gt;&lt;/Cite&gt;&lt;/EndNote&gt;</w:instrText>
      </w:r>
      <w:r w:rsidR="00D3214A">
        <w:fldChar w:fldCharType="separate"/>
      </w:r>
      <w:r>
        <w:rPr>
          <w:noProof/>
        </w:rPr>
        <w:t>(</w:t>
      </w:r>
      <w:hyperlink w:anchor="_ENREF_2" w:tooltip="Whitener, 1990 #42" w:history="1">
        <w:r>
          <w:rPr>
            <w:noProof/>
          </w:rPr>
          <w:t>Whitener, 1990</w:t>
        </w:r>
      </w:hyperlink>
      <w:r>
        <w:rPr>
          <w:noProof/>
        </w:rPr>
        <w:t>)</w:t>
      </w:r>
      <w:r w:rsidR="00D3214A">
        <w:fldChar w:fldCharType="end"/>
      </w:r>
      <w:r>
        <w:t>. By removing the variance across original effect size estimates due to sampling and measurement error, we estimated average true score correlations (</w:t>
      </w:r>
      <m:oMath>
        <m:acc>
          <m:accPr>
            <m:ctrlPr>
              <w:rPr>
                <w:rFonts w:ascii="Cambria Math" w:hAnsi="Cambria Math"/>
                <w:i/>
              </w:rPr>
            </m:ctrlPr>
          </m:accPr>
          <m:e>
            <m:r>
              <w:rPr>
                <w:rFonts w:ascii="Cambria Math" w:hAnsi="Cambria Math"/>
              </w:rPr>
              <m:t>ρ</m:t>
            </m:r>
          </m:e>
        </m:acc>
      </m:oMath>
      <w:r>
        <w:t xml:space="preserve">) within each outcome category. </w:t>
      </w:r>
      <w:r w:rsidR="0067294E">
        <w:t>Because not all studies reported Cronbach</w:t>
      </w:r>
      <w:r w:rsidR="00821F5B">
        <w:t>’s</w:t>
      </w:r>
      <w:r w:rsidR="0067294E">
        <w:t xml:space="preserve"> alpha estimates for measures of key variables, w</w:t>
      </w:r>
      <w:r>
        <w:t>e used the artifact distribution method to correct for attenuation by random measurement error (Hunter &amp; Schmidt, 2004). Average Cronbach’s alpha was .84 across measures of perceived workplace gender discrimination</w:t>
      </w:r>
      <w:r w:rsidR="00BA40F3">
        <w:t xml:space="preserve"> in our sample</w:t>
      </w:r>
      <w:r>
        <w:t xml:space="preserve">.  </w:t>
      </w:r>
    </w:p>
    <w:p w14:paraId="1FD02772" w14:textId="6F63B299" w:rsidR="00FB6CE3" w:rsidRPr="00020BDB" w:rsidRDefault="00FB6CE3" w:rsidP="00020BDB">
      <w:pPr>
        <w:widowControl w:val="0"/>
        <w:suppressAutoHyphens w:val="0"/>
        <w:spacing w:line="480" w:lineRule="auto"/>
        <w:ind w:firstLine="720"/>
      </w:pPr>
      <w:r>
        <w:t xml:space="preserve">We used several tests to verify whether the observed variance in effect sizes across studies is explained entirely by sampling error (i.e., </w:t>
      </w:r>
      <m:oMath>
        <m:acc>
          <m:accPr>
            <m:ctrlPr>
              <w:rPr>
                <w:rFonts w:ascii="Cambria Math" w:hAnsi="Cambria Math"/>
                <w:i/>
              </w:rPr>
            </m:ctrlPr>
          </m:accPr>
          <m:e>
            <m:r>
              <w:rPr>
                <w:rFonts w:ascii="Cambria Math" w:hAnsi="Cambria Math"/>
              </w:rPr>
              <m:t>ρ</m:t>
            </m:r>
          </m:e>
        </m:acc>
      </m:oMath>
      <w:r>
        <w:t xml:space="preserve"> represents a single population parameter) or</w:t>
      </w:r>
      <w:r w:rsidRPr="00EE052B">
        <w:t xml:space="preserve"> </w:t>
      </w:r>
      <w:r>
        <w:t xml:space="preserve">by systematic differences between studies in addition to within-study sampling variability (i.e., </w:t>
      </w:r>
      <m:oMath>
        <m:acc>
          <m:accPr>
            <m:ctrlPr>
              <w:rPr>
                <w:rFonts w:ascii="Cambria Math" w:hAnsi="Cambria Math"/>
                <w:i/>
              </w:rPr>
            </m:ctrlPr>
          </m:accPr>
          <m:e>
            <m:r>
              <w:rPr>
                <w:rFonts w:ascii="Cambria Math" w:hAnsi="Cambria Math"/>
              </w:rPr>
              <m:t>ρ</m:t>
            </m:r>
          </m:e>
        </m:acc>
      </m:oMath>
      <w:r w:rsidR="00020BDB">
        <w:t xml:space="preserve"> </w:t>
      </w:r>
      <w:r>
        <w:t xml:space="preserve">represents the mean of parameters from several subpopulations). </w:t>
      </w:r>
      <w:r w:rsidR="00BA40F3">
        <w:t>To test the statistical significance of the residual variance, w</w:t>
      </w:r>
      <w:r>
        <w:t xml:space="preserve">e used </w:t>
      </w:r>
      <w:r w:rsidRPr="0060725B">
        <w:t>80% credibility intervals calculated around the estimated</w:t>
      </w:r>
      <w:r>
        <w:t xml:space="preserve"> true score correlation (i.e., moderators are present if the interval includes zero or is relatively wide) and</w:t>
      </w:r>
      <w:r w:rsidRPr="00B9574E">
        <w:t xml:space="preserve"> chi-square tests of homogeneity</w:t>
      </w:r>
      <w:r w:rsidR="00C71EE4">
        <w:t xml:space="preserve"> </w:t>
      </w:r>
      <w:r w:rsidR="00784049">
        <w:t>(i.e.</w:t>
      </w:r>
      <w:r w:rsidR="002724ED">
        <w:t>,</w:t>
      </w:r>
      <w:r w:rsidR="00784049">
        <w:t xml:space="preserve"> moderators are present if chi-square is statistically significant) </w:t>
      </w:r>
      <w:r w:rsidR="00C71EE4">
        <w:t>(</w:t>
      </w:r>
      <w:hyperlink w:anchor="_ENREF_1" w:tooltip="Hunter, 2004 #5" w:history="1">
        <w:r w:rsidR="00C71EE4" w:rsidRPr="0060725B">
          <w:rPr>
            <w:noProof/>
          </w:rPr>
          <w:t>Hunter &amp; Schmidt, 2004</w:t>
        </w:r>
      </w:hyperlink>
      <w:r w:rsidR="00C71EE4">
        <w:rPr>
          <w:noProof/>
        </w:rPr>
        <w:t>)</w:t>
      </w:r>
      <w:r w:rsidRPr="00B9574E">
        <w:t xml:space="preserve">. </w:t>
      </w:r>
    </w:p>
    <w:p w14:paraId="0F860461" w14:textId="1A8F3C87" w:rsidR="00FB6CE3" w:rsidRDefault="00FB6CE3" w:rsidP="001515D2">
      <w:pPr>
        <w:widowControl w:val="0"/>
        <w:suppressAutoHyphens w:val="0"/>
        <w:spacing w:line="480" w:lineRule="auto"/>
        <w:ind w:firstLine="720"/>
      </w:pPr>
      <w:r>
        <w:t xml:space="preserve">We examined the hypothesized moderating effects of labor policy </w:t>
      </w:r>
      <w:r w:rsidR="00BB6032">
        <w:t xml:space="preserve">integration </w:t>
      </w:r>
      <w:r>
        <w:t>and practice</w:t>
      </w:r>
      <w:r w:rsidR="00BB6032">
        <w:t xml:space="preserve"> enforcement</w:t>
      </w:r>
      <w:r>
        <w:t xml:space="preserve"> and gender egalitarianism cultural practice by calculating the </w:t>
      </w:r>
      <w:r w:rsidRPr="00255143">
        <w:t>sample-size weighted observed correlation</w:t>
      </w:r>
      <w:r>
        <w:t>s</w:t>
      </w:r>
      <w:r w:rsidRPr="00255143">
        <w:t xml:space="preserve"> </w:t>
      </w:r>
      <w:r>
        <w:t>(</w:t>
      </w:r>
      <m:oMath>
        <m:acc>
          <m:accPr>
            <m:chr m:val="̅"/>
            <m:ctrlPr>
              <w:rPr>
                <w:rFonts w:ascii="Cambria Math" w:hAnsi="Cambria Math"/>
                <w:i/>
              </w:rPr>
            </m:ctrlPr>
          </m:accPr>
          <m:e>
            <m:r>
              <w:rPr>
                <w:rFonts w:ascii="Cambria Math" w:hAnsi="Cambria Math"/>
              </w:rPr>
              <m:t>r</m:t>
            </m:r>
          </m:e>
        </m:acc>
      </m:oMath>
      <w:r>
        <w:t>) and average true score correlations (</w:t>
      </w:r>
      <m:oMath>
        <m:acc>
          <m:accPr>
            <m:ctrlPr>
              <w:rPr>
                <w:rFonts w:ascii="Cambria Math" w:hAnsi="Cambria Math"/>
                <w:i/>
              </w:rPr>
            </m:ctrlPr>
          </m:accPr>
          <m:e>
            <m:r>
              <w:rPr>
                <w:rFonts w:ascii="Cambria Math" w:hAnsi="Cambria Math"/>
              </w:rPr>
              <m:t>ρ</m:t>
            </m:r>
          </m:e>
        </m:acc>
      </m:oMath>
      <w:r>
        <w:t>) within categories</w:t>
      </w:r>
      <w:r w:rsidR="00B72CCA">
        <w:t xml:space="preserve"> or </w:t>
      </w:r>
      <w:r>
        <w:t>bands for each moderator</w:t>
      </w:r>
      <w:r w:rsidR="00BA40F3">
        <w:t>. We then compared</w:t>
      </w:r>
      <w:r>
        <w:t xml:space="preserve"> </w:t>
      </w:r>
      <m:oMath>
        <m:acc>
          <m:accPr>
            <m:ctrlPr>
              <w:rPr>
                <w:rFonts w:ascii="Cambria Math" w:hAnsi="Cambria Math"/>
                <w:i/>
              </w:rPr>
            </m:ctrlPr>
          </m:accPr>
          <m:e>
            <m:r>
              <w:rPr>
                <w:rFonts w:ascii="Cambria Math" w:hAnsi="Cambria Math"/>
              </w:rPr>
              <m:t>ρ</m:t>
            </m:r>
          </m:e>
        </m:acc>
      </m:oMath>
      <w:r w:rsidR="00903ACB">
        <w:t xml:space="preserve">’s </w:t>
      </w:r>
      <w:r>
        <w:t xml:space="preserve">between categories/bands of each moderator </w:t>
      </w:r>
      <w:r w:rsidR="00903ACB">
        <w:t>following</w:t>
      </w:r>
      <w:r>
        <w:t xml:space="preserve"> </w:t>
      </w:r>
      <w:r w:rsidRPr="00B9574E">
        <w:t>Hunter and Schmidt</w:t>
      </w:r>
      <w:r w:rsidR="00903ACB">
        <w:t>’s</w:t>
      </w:r>
      <w:r w:rsidRPr="00B9574E">
        <w:t xml:space="preserve"> (2004</w:t>
      </w:r>
      <w:r>
        <w:t>:</w:t>
      </w:r>
      <w:r w:rsidRPr="00B9574E">
        <w:t xml:space="preserve"> 90) </w:t>
      </w:r>
      <w:r w:rsidR="00903ACB">
        <w:t>guidelines</w:t>
      </w:r>
      <w:r w:rsidR="00903ACB" w:rsidRPr="00B9574E">
        <w:t xml:space="preserve"> </w:t>
      </w:r>
      <w:r>
        <w:t>where</w:t>
      </w:r>
      <w:r w:rsidRPr="00B9574E">
        <w:t xml:space="preserve"> the “average correlation will vary from subset to subset” and “the corrected variance will average lower in the subsets than for the </w:t>
      </w:r>
      <w:r w:rsidRPr="00B9574E">
        <w:lastRenderedPageBreak/>
        <w:t xml:space="preserve">data as a whole.” </w:t>
      </w:r>
      <w:r w:rsidR="00903ACB">
        <w:t>To</w:t>
      </w:r>
      <w:r w:rsidRPr="00B9574E">
        <w:t xml:space="preserve"> compute the corrected variance for each outcome </w:t>
      </w:r>
      <w:r w:rsidR="00903ACB">
        <w:t xml:space="preserve">category in </w:t>
      </w:r>
      <w:r w:rsidRPr="00B9574E">
        <w:t>each subset</w:t>
      </w:r>
      <w:r w:rsidR="00903ACB">
        <w:t>, we</w:t>
      </w:r>
      <w:r w:rsidRPr="00B9574E">
        <w:t xml:space="preserve"> subtract</w:t>
      </w:r>
      <w:r w:rsidR="00903ACB">
        <w:t>ed</w:t>
      </w:r>
      <w:r w:rsidRPr="00B9574E">
        <w:t xml:space="preserve"> the variance attributable to sampling error variance (</w:t>
      </w:r>
      <m:oMath>
        <m:sSup>
          <m:sSupPr>
            <m:ctrlPr>
              <w:rPr>
                <w:rFonts w:ascii="Cambria Math" w:eastAsia="SimHei" w:hAnsi="Cambria Math"/>
                <w:i/>
              </w:rPr>
            </m:ctrlPr>
          </m:sSupPr>
          <m:e>
            <m:sSub>
              <m:sSubPr>
                <m:ctrlPr>
                  <w:rPr>
                    <w:rFonts w:ascii="Cambria Math" w:eastAsia="SimHei" w:hAnsi="Cambria Math"/>
                    <w:i/>
                  </w:rPr>
                </m:ctrlPr>
              </m:sSubPr>
              <m:e>
                <m:r>
                  <w:rPr>
                    <w:rFonts w:ascii="Cambria Math" w:eastAsia="SimHei" w:hAnsi="Cambria Math"/>
                  </w:rPr>
                  <m:t>σ</m:t>
                </m:r>
              </m:e>
              <m:sub>
                <m:r>
                  <w:rPr>
                    <w:rFonts w:ascii="Cambria Math" w:eastAsia="SimHei" w:hAnsi="Cambria Math"/>
                  </w:rPr>
                  <m:t>e</m:t>
                </m:r>
              </m:sub>
            </m:sSub>
          </m:e>
          <m:sup>
            <m:r>
              <w:rPr>
                <w:rFonts w:ascii="Cambria Math" w:eastAsia="SimHei" w:hAnsi="Cambria Math"/>
              </w:rPr>
              <m:t>2</m:t>
            </m:r>
          </m:sup>
        </m:sSup>
      </m:oMath>
      <w:r w:rsidRPr="00B9574E">
        <w:t>) from the sample</w:t>
      </w:r>
      <w:r w:rsidR="00C13933">
        <w:t>-</w:t>
      </w:r>
      <w:r w:rsidRPr="00B9574E">
        <w:t>size weighted observed variance of correlations (</w:t>
      </w:r>
      <m:oMath>
        <m:sSup>
          <m:sSupPr>
            <m:ctrlPr>
              <w:rPr>
                <w:rFonts w:ascii="Cambria Math" w:eastAsia="SimHei" w:hAnsi="Cambria Math"/>
                <w:i/>
              </w:rPr>
            </m:ctrlPr>
          </m:sSupPr>
          <m:e>
            <m:sSub>
              <m:sSubPr>
                <m:ctrlPr>
                  <w:rPr>
                    <w:rFonts w:ascii="Cambria Math" w:eastAsia="SimHei" w:hAnsi="Cambria Math"/>
                    <w:i/>
                  </w:rPr>
                </m:ctrlPr>
              </m:sSubPr>
              <m:e>
                <m:r>
                  <w:rPr>
                    <w:rFonts w:ascii="Cambria Math" w:eastAsia="SimHei" w:hAnsi="Cambria Math"/>
                  </w:rPr>
                  <m:t>σ</m:t>
                </m:r>
              </m:e>
              <m:sub>
                <m:r>
                  <w:rPr>
                    <w:rFonts w:ascii="Cambria Math" w:eastAsia="SimHei" w:hAnsi="Cambria Math"/>
                  </w:rPr>
                  <m:t>r</m:t>
                </m:r>
              </m:sub>
            </m:sSub>
          </m:e>
          <m:sup>
            <m:r>
              <w:rPr>
                <w:rFonts w:ascii="Cambria Math" w:eastAsia="SimHei" w:hAnsi="Cambria Math"/>
              </w:rPr>
              <m:t>2</m:t>
            </m:r>
          </m:sup>
        </m:sSup>
      </m:oMath>
      <w:r w:rsidRPr="00B9574E">
        <w:t>) as shown in Hunter and Schmidt (2004</w:t>
      </w:r>
      <w:r>
        <w:t>:</w:t>
      </w:r>
      <w:r w:rsidRPr="00B9574E">
        <w:t xml:space="preserve"> 91).</w:t>
      </w:r>
      <w:r>
        <w:t xml:space="preserve"> </w:t>
      </w:r>
    </w:p>
    <w:p w14:paraId="2362A70D" w14:textId="77777777" w:rsidR="00FB6CE3" w:rsidRDefault="00FB6CE3" w:rsidP="001515D2">
      <w:pPr>
        <w:widowControl w:val="0"/>
        <w:suppressAutoHyphens w:val="0"/>
        <w:spacing w:line="480" w:lineRule="auto"/>
        <w:jc w:val="center"/>
        <w:rPr>
          <w:b/>
        </w:rPr>
      </w:pPr>
      <w:r w:rsidRPr="00737A6B">
        <w:rPr>
          <w:b/>
        </w:rPr>
        <w:t>RESULTS</w:t>
      </w:r>
    </w:p>
    <w:p w14:paraId="1AAF5ED7" w14:textId="1CC5D912" w:rsidR="00FB6CE3" w:rsidRDefault="00FB6CE3" w:rsidP="001515D2">
      <w:pPr>
        <w:widowControl w:val="0"/>
        <w:suppressAutoHyphens w:val="0"/>
        <w:spacing w:line="480" w:lineRule="auto"/>
        <w:rPr>
          <w:b/>
        </w:rPr>
      </w:pPr>
      <w:r>
        <w:tab/>
        <w:t xml:space="preserve">The aggregated correlations and the associated meta-analytic estimates for </w:t>
      </w:r>
      <w:r w:rsidR="007000BF">
        <w:t>the</w:t>
      </w:r>
      <w:r>
        <w:t xml:space="preserve"> outcome</w:t>
      </w:r>
      <w:r w:rsidR="007000BF">
        <w:t>s</w:t>
      </w:r>
      <w:r>
        <w:t xml:space="preserve"> are displayed in Table </w:t>
      </w:r>
      <w:r w:rsidR="00350E7C">
        <w:t>1</w:t>
      </w:r>
      <w:r>
        <w:t>. We found support for Hypothesis 1. P</w:t>
      </w:r>
      <w:r w:rsidRPr="00D924B2">
        <w:t xml:space="preserve">erceived </w:t>
      </w:r>
      <w:r>
        <w:t>gender</w:t>
      </w:r>
      <w:r w:rsidRPr="00D924B2">
        <w:t xml:space="preserve"> discrimination at work</w:t>
      </w:r>
      <w:r>
        <w:t xml:space="preserve"> was</w:t>
      </w:r>
      <w:r w:rsidRPr="00D924B2">
        <w:t xml:space="preserve"> negatively related </w:t>
      </w:r>
      <w:r>
        <w:t xml:space="preserve">to </w:t>
      </w:r>
      <w:r w:rsidRPr="00D924B2">
        <w:t>job attitudes</w:t>
      </w:r>
      <w:r>
        <w:t xml:space="preserve"> (</w:t>
      </w:r>
      <m:oMath>
        <m:acc>
          <m:accPr>
            <m:ctrlPr>
              <w:rPr>
                <w:rFonts w:ascii="Cambria Math" w:hAnsi="Cambria Math"/>
                <w:i/>
              </w:rPr>
            </m:ctrlPr>
          </m:accPr>
          <m:e>
            <m:r>
              <w:rPr>
                <w:rFonts w:ascii="Cambria Math" w:hAnsi="Cambria Math"/>
              </w:rPr>
              <m:t>ρ</m:t>
            </m:r>
          </m:e>
        </m:acc>
      </m:oMath>
      <w:r>
        <w:t xml:space="preserve"> = -.28), </w:t>
      </w:r>
      <w:r w:rsidRPr="00E63462">
        <w:t>physical health</w:t>
      </w:r>
      <w:r>
        <w:t xml:space="preserve"> outcomes and behaviors (</w:t>
      </w:r>
      <m:oMath>
        <m:acc>
          <m:accPr>
            <m:ctrlPr>
              <w:rPr>
                <w:rFonts w:ascii="Cambria Math" w:hAnsi="Cambria Math"/>
                <w:i/>
              </w:rPr>
            </m:ctrlPr>
          </m:accPr>
          <m:e>
            <m:r>
              <w:rPr>
                <w:rFonts w:ascii="Cambria Math" w:hAnsi="Cambria Math"/>
              </w:rPr>
              <m:t>ρ</m:t>
            </m:r>
          </m:e>
        </m:acc>
      </m:oMath>
      <w:r w:rsidR="00E851C8">
        <w:t xml:space="preserve"> = -.19</w:t>
      </w:r>
      <w:r>
        <w:t xml:space="preserve">), </w:t>
      </w:r>
      <w:r w:rsidRPr="00E63462">
        <w:t>psychological health</w:t>
      </w:r>
      <w:r>
        <w:t xml:space="preserve"> (</w:t>
      </w:r>
      <m:oMath>
        <m:acc>
          <m:accPr>
            <m:ctrlPr>
              <w:rPr>
                <w:rFonts w:ascii="Cambria Math" w:hAnsi="Cambria Math"/>
                <w:i/>
              </w:rPr>
            </m:ctrlPr>
          </m:accPr>
          <m:e>
            <m:r>
              <w:rPr>
                <w:rFonts w:ascii="Cambria Math" w:hAnsi="Cambria Math"/>
              </w:rPr>
              <m:t>ρ</m:t>
            </m:r>
          </m:e>
        </m:acc>
      </m:oMath>
      <w:r>
        <w:t xml:space="preserve"> = -.19), job-based work outcomes (</w:t>
      </w:r>
      <m:oMath>
        <m:acc>
          <m:accPr>
            <m:ctrlPr>
              <w:rPr>
                <w:rFonts w:ascii="Cambria Math" w:hAnsi="Cambria Math"/>
                <w:i/>
              </w:rPr>
            </m:ctrlPr>
          </m:accPr>
          <m:e>
            <m:r>
              <w:rPr>
                <w:rFonts w:ascii="Cambria Math" w:hAnsi="Cambria Math"/>
              </w:rPr>
              <m:t>ρ</m:t>
            </m:r>
          </m:e>
        </m:acc>
      </m:oMath>
      <w:r>
        <w:t xml:space="preserve"> = -.05), and relationship-based work outcomes (</w:t>
      </w:r>
      <m:oMath>
        <m:acc>
          <m:accPr>
            <m:ctrlPr>
              <w:rPr>
                <w:rFonts w:ascii="Cambria Math" w:hAnsi="Cambria Math"/>
                <w:i/>
              </w:rPr>
            </m:ctrlPr>
          </m:accPr>
          <m:e>
            <m:r>
              <w:rPr>
                <w:rFonts w:ascii="Cambria Math" w:hAnsi="Cambria Math"/>
              </w:rPr>
              <m:t>ρ</m:t>
            </m:r>
          </m:e>
        </m:acc>
      </m:oMath>
      <w:r>
        <w:t xml:space="preserve"> = -.26). Cohen (1988) describes effect sizes of .10, .30, and .50 to be small, medium, and large. </w:t>
      </w:r>
      <w:r w:rsidR="007000BF">
        <w:t>Thus</w:t>
      </w:r>
      <w:r>
        <w:t>, the</w:t>
      </w:r>
      <w:r w:rsidR="00783C81">
        <w:t xml:space="preserve"> </w:t>
      </w:r>
      <m:oMath>
        <m:acc>
          <m:accPr>
            <m:ctrlPr>
              <w:rPr>
                <w:rFonts w:ascii="Cambria Math" w:hAnsi="Cambria Math"/>
                <w:i/>
              </w:rPr>
            </m:ctrlPr>
          </m:accPr>
          <m:e>
            <m:r>
              <w:rPr>
                <w:rFonts w:ascii="Cambria Math" w:hAnsi="Cambria Math"/>
              </w:rPr>
              <m:t>ρ</m:t>
            </m:r>
          </m:e>
        </m:acc>
      </m:oMath>
      <w:r w:rsidR="007000BF">
        <w:t xml:space="preserve">’s </w:t>
      </w:r>
      <w:r>
        <w:t xml:space="preserve">across all outcome categories </w:t>
      </w:r>
      <w:r w:rsidR="00946BA6">
        <w:t>(</w:t>
      </w:r>
      <w:r>
        <w:t>except job-based work outcomes</w:t>
      </w:r>
      <w:r w:rsidR="00946BA6">
        <w:t>)</w:t>
      </w:r>
      <w:r>
        <w:t xml:space="preserve"> are small to medium in size. </w:t>
      </w:r>
    </w:p>
    <w:p w14:paraId="54D60BA9" w14:textId="77777777" w:rsidR="00FB6CE3" w:rsidRDefault="00FB6CE3" w:rsidP="001515D2">
      <w:pPr>
        <w:widowControl w:val="0"/>
        <w:suppressAutoHyphens w:val="0"/>
        <w:autoSpaceDE w:val="0"/>
        <w:autoSpaceDN w:val="0"/>
        <w:adjustRightInd w:val="0"/>
        <w:spacing w:line="480" w:lineRule="auto"/>
        <w:ind w:firstLine="720"/>
      </w:pPr>
      <w:r>
        <w:t xml:space="preserve">As shown in Table </w:t>
      </w:r>
      <w:r w:rsidR="00350E7C">
        <w:t>1</w:t>
      </w:r>
      <w:r>
        <w:t xml:space="preserve">, </w:t>
      </w:r>
      <w:r w:rsidR="00C71EE4">
        <w:t>t</w:t>
      </w:r>
      <w:r>
        <w:t>he relatively wide credibility intervals and the statistically significant chi</w:t>
      </w:r>
      <w:r w:rsidR="00353B89">
        <w:t>-</w:t>
      </w:r>
      <w:r>
        <w:t>square test results</w:t>
      </w:r>
      <w:r w:rsidR="007000BF">
        <w:t xml:space="preserve"> support </w:t>
      </w:r>
      <w:r w:rsidR="004A062B">
        <w:t>testing for moderators</w:t>
      </w:r>
      <w:r>
        <w:t xml:space="preserve">. </w:t>
      </w:r>
    </w:p>
    <w:p w14:paraId="328A3D05" w14:textId="77777777" w:rsidR="00FB6CE3" w:rsidRDefault="00FB6CE3" w:rsidP="001515D2">
      <w:pPr>
        <w:widowControl w:val="0"/>
        <w:suppressAutoHyphens w:val="0"/>
        <w:spacing w:line="360" w:lineRule="auto"/>
        <w:jc w:val="center"/>
        <w:rPr>
          <w:b/>
        </w:rPr>
      </w:pPr>
      <w:r>
        <w:rPr>
          <w:b/>
        </w:rPr>
        <w:t>-----------------------------------------------</w:t>
      </w:r>
    </w:p>
    <w:p w14:paraId="7C53AE7F" w14:textId="6E7C6EA6" w:rsidR="00FB6CE3" w:rsidRPr="000A1A9D" w:rsidRDefault="00FB6CE3" w:rsidP="001515D2">
      <w:pPr>
        <w:widowControl w:val="0"/>
        <w:suppressAutoHyphens w:val="0"/>
        <w:spacing w:line="360" w:lineRule="auto"/>
        <w:jc w:val="center"/>
      </w:pPr>
      <w:r w:rsidRPr="000A1A9D">
        <w:t>Insert Tabl</w:t>
      </w:r>
      <w:r>
        <w:t>e</w:t>
      </w:r>
      <w:r w:rsidR="00E008B4">
        <w:t xml:space="preserve">s </w:t>
      </w:r>
      <w:r w:rsidR="0052090D">
        <w:t>1, 2</w:t>
      </w:r>
      <w:r w:rsidR="000A5063">
        <w:t>,</w:t>
      </w:r>
      <w:r w:rsidR="00E008B4">
        <w:t xml:space="preserve"> and</w:t>
      </w:r>
      <w:r>
        <w:t xml:space="preserve"> </w:t>
      </w:r>
      <w:r w:rsidR="0052090D">
        <w:t>3</w:t>
      </w:r>
      <w:r w:rsidRPr="000A1A9D">
        <w:t xml:space="preserve"> about here</w:t>
      </w:r>
    </w:p>
    <w:p w14:paraId="315A3B7E" w14:textId="77777777" w:rsidR="00FB6CE3" w:rsidRDefault="00FB6CE3" w:rsidP="001515D2">
      <w:pPr>
        <w:widowControl w:val="0"/>
        <w:suppressAutoHyphens w:val="0"/>
        <w:spacing w:line="360" w:lineRule="auto"/>
        <w:jc w:val="center"/>
        <w:rPr>
          <w:b/>
        </w:rPr>
      </w:pPr>
      <w:r>
        <w:rPr>
          <w:b/>
        </w:rPr>
        <w:t>------------------------------------------------</w:t>
      </w:r>
    </w:p>
    <w:p w14:paraId="6DA92644" w14:textId="4FB93CAF" w:rsidR="00FB6CE3" w:rsidRDefault="00595341" w:rsidP="001515D2">
      <w:pPr>
        <w:widowControl w:val="0"/>
        <w:suppressAutoHyphens w:val="0"/>
        <w:autoSpaceDE w:val="0"/>
        <w:autoSpaceDN w:val="0"/>
        <w:adjustRightInd w:val="0"/>
        <w:spacing w:line="480" w:lineRule="auto"/>
        <w:ind w:firstLine="720"/>
      </w:pPr>
      <w:r>
        <w:t xml:space="preserve">Table 2 shows the results for </w:t>
      </w:r>
      <w:r w:rsidR="00FB6CE3">
        <w:t>Hypothesis 2</w:t>
      </w:r>
      <w:r>
        <w:t>, which</w:t>
      </w:r>
      <w:r w:rsidR="00FB6CE3">
        <w:t xml:space="preserve"> was partially supported. </w:t>
      </w:r>
      <w:r>
        <w:t>C</w:t>
      </w:r>
      <w:r w:rsidR="00FB6CE3">
        <w:t xml:space="preserve">onsistent with our prediction, correlations </w:t>
      </w:r>
      <w:r w:rsidR="004A3EC0">
        <w:t>for</w:t>
      </w:r>
      <w:r w:rsidR="00FB6CE3">
        <w:t xml:space="preserve"> physical health outcomes and behaviors were stronger (more negative) in countries with higher labor policy integration and practice enforcement scores </w:t>
      </w:r>
      <w:r w:rsidR="00FB6CE3" w:rsidRPr="00F604AF">
        <w:t>(</w:t>
      </w:r>
      <m:oMath>
        <m:acc>
          <m:accPr>
            <m:ctrlPr>
              <w:rPr>
                <w:rFonts w:ascii="Cambria Math" w:hAnsi="Cambria Math"/>
                <w:i/>
              </w:rPr>
            </m:ctrlPr>
          </m:accPr>
          <m:e>
            <m:r>
              <w:rPr>
                <w:rFonts w:ascii="Cambria Math" w:hAnsi="Cambria Math"/>
              </w:rPr>
              <m:t>ρ</m:t>
            </m:r>
          </m:e>
        </m:acc>
      </m:oMath>
      <w:r w:rsidR="00FB6CE3">
        <w:t xml:space="preserve"> = -.31</w:t>
      </w:r>
      <w:r w:rsidR="00FB6CE3" w:rsidRPr="00F604AF">
        <w:t>)</w:t>
      </w:r>
      <w:r w:rsidR="00FB6CE3">
        <w:t>, implying broader integration and stricter enforcement of gender equity</w:t>
      </w:r>
      <w:r w:rsidR="00CB01D8">
        <w:t>,</w:t>
      </w:r>
      <w:r w:rsidR="00FB6CE3">
        <w:t xml:space="preserve"> than countries with lower scores </w:t>
      </w:r>
      <w:r w:rsidR="00FB6CE3" w:rsidRPr="00F604AF">
        <w:t>(</w:t>
      </w:r>
      <m:oMath>
        <m:acc>
          <m:accPr>
            <m:ctrlPr>
              <w:rPr>
                <w:rFonts w:ascii="Cambria Math" w:hAnsi="Cambria Math"/>
                <w:i/>
              </w:rPr>
            </m:ctrlPr>
          </m:accPr>
          <m:e>
            <m:r>
              <w:rPr>
                <w:rFonts w:ascii="Cambria Math" w:hAnsi="Cambria Math"/>
              </w:rPr>
              <m:t>ρ</m:t>
            </m:r>
          </m:e>
        </m:acc>
      </m:oMath>
      <w:r w:rsidR="00FB6CE3">
        <w:t xml:space="preserve"> = -.17</w:t>
      </w:r>
      <w:r w:rsidR="00FB6CE3" w:rsidRPr="00F604AF">
        <w:t>)</w:t>
      </w:r>
      <w:r w:rsidR="00FB6CE3">
        <w:t xml:space="preserve">, </w:t>
      </w:r>
      <w:r w:rsidR="00EB4D1F">
        <w:t>suggesting</w:t>
      </w:r>
      <w:r w:rsidR="00FB6CE3">
        <w:t xml:space="preserve"> narrower integration and weaker enforcement of gender </w:t>
      </w:r>
      <w:r w:rsidR="00FB6CE3" w:rsidRPr="005F52A4">
        <w:t xml:space="preserve">equity. </w:t>
      </w:r>
      <w:r w:rsidR="00C73DA5" w:rsidRPr="005F52A4">
        <w:t>Recall that to test for moderation we must compute the average corrected variance for high and low subsets by taking the sample-size weighted observed variance of correlations (</w:t>
      </w:r>
      <m:oMath>
        <m:sSup>
          <m:sSupPr>
            <m:ctrlPr>
              <w:rPr>
                <w:rFonts w:ascii="Cambria Math" w:eastAsia="SimHei" w:hAnsi="Cambria Math"/>
                <w:i/>
              </w:rPr>
            </m:ctrlPr>
          </m:sSupPr>
          <m:e>
            <m:sSub>
              <m:sSubPr>
                <m:ctrlPr>
                  <w:rPr>
                    <w:rFonts w:ascii="Cambria Math" w:eastAsia="SimHei" w:hAnsi="Cambria Math"/>
                    <w:i/>
                  </w:rPr>
                </m:ctrlPr>
              </m:sSubPr>
              <m:e>
                <m:r>
                  <w:rPr>
                    <w:rFonts w:ascii="Cambria Math" w:eastAsia="SimHei" w:hAnsi="Cambria Math"/>
                  </w:rPr>
                  <m:t>σ</m:t>
                </m:r>
              </m:e>
              <m:sub>
                <m:r>
                  <w:rPr>
                    <w:rFonts w:ascii="Cambria Math" w:eastAsia="SimHei" w:hAnsi="Cambria Math"/>
                  </w:rPr>
                  <m:t>r</m:t>
                </m:r>
              </m:sub>
            </m:sSub>
          </m:e>
          <m:sup>
            <m:r>
              <w:rPr>
                <w:rFonts w:ascii="Cambria Math" w:eastAsia="SimHei" w:hAnsi="Cambria Math"/>
              </w:rPr>
              <m:t>2</m:t>
            </m:r>
          </m:sup>
        </m:sSup>
      </m:oMath>
      <w:r w:rsidR="00C73DA5" w:rsidRPr="005F52A4">
        <w:t xml:space="preserve">) </w:t>
      </w:r>
      <w:r w:rsidR="00813498" w:rsidRPr="005F52A4">
        <w:t>and subtracting the variance attributable to sampling error variance (</w:t>
      </w:r>
      <m:oMath>
        <m:sSup>
          <m:sSupPr>
            <m:ctrlPr>
              <w:rPr>
                <w:rFonts w:ascii="Cambria Math" w:eastAsia="SimHei" w:hAnsi="Cambria Math"/>
                <w:i/>
              </w:rPr>
            </m:ctrlPr>
          </m:sSupPr>
          <m:e>
            <m:sSub>
              <m:sSubPr>
                <m:ctrlPr>
                  <w:rPr>
                    <w:rFonts w:ascii="Cambria Math" w:eastAsia="SimHei" w:hAnsi="Cambria Math"/>
                    <w:i/>
                  </w:rPr>
                </m:ctrlPr>
              </m:sSubPr>
              <m:e>
                <m:r>
                  <w:rPr>
                    <w:rFonts w:ascii="Cambria Math" w:eastAsia="SimHei" w:hAnsi="Cambria Math"/>
                  </w:rPr>
                  <m:t>σ</m:t>
                </m:r>
              </m:e>
              <m:sub>
                <m:r>
                  <w:rPr>
                    <w:rFonts w:ascii="Cambria Math" w:eastAsia="SimHei" w:hAnsi="Cambria Math"/>
                  </w:rPr>
                  <m:t>e</m:t>
                </m:r>
              </m:sub>
            </m:sSub>
          </m:e>
          <m:sup>
            <m:r>
              <w:rPr>
                <w:rFonts w:ascii="Cambria Math" w:eastAsia="SimHei" w:hAnsi="Cambria Math"/>
              </w:rPr>
              <m:t>2</m:t>
            </m:r>
          </m:sup>
        </m:sSup>
      </m:oMath>
      <w:r w:rsidR="00813498" w:rsidRPr="005F52A4">
        <w:t xml:space="preserve">). </w:t>
      </w:r>
      <w:r w:rsidR="00FB6CE3" w:rsidRPr="005F52A4">
        <w:t xml:space="preserve">The average corrected </w:t>
      </w:r>
      <w:r w:rsidR="00FB6CE3" w:rsidRPr="005F52A4">
        <w:lastRenderedPageBreak/>
        <w:t>variance for the high and low subsets (.00</w:t>
      </w:r>
      <w:r w:rsidR="003278BE" w:rsidRPr="005F52A4">
        <w:t>1</w:t>
      </w:r>
      <w:r w:rsidR="002C2CBF" w:rsidRPr="005F52A4">
        <w:t xml:space="preserve"> which is the average of 0 for the high category and .002 for the low category in Table 2</w:t>
      </w:r>
      <w:r w:rsidR="00FB6CE3" w:rsidRPr="005F52A4">
        <w:t>) is less than the overall corrected variance for physical health outcomes and behaviors (.00</w:t>
      </w:r>
      <w:r w:rsidR="006D7598" w:rsidRPr="005F52A4">
        <w:t>3</w:t>
      </w:r>
      <w:r w:rsidR="002C2CBF" w:rsidRPr="005F52A4">
        <w:t xml:space="preserve"> which is .004 </w:t>
      </w:r>
      <w:r w:rsidR="005F52A4">
        <w:t>−</w:t>
      </w:r>
      <w:r w:rsidR="002C2CBF" w:rsidRPr="005F52A4">
        <w:t xml:space="preserve"> .001 from Table 1</w:t>
      </w:r>
      <w:r w:rsidR="00FB6CE3" w:rsidRPr="005F52A4">
        <w:t>)</w:t>
      </w:r>
      <w:r w:rsidR="007649DF" w:rsidRPr="005F52A4">
        <w:t>, supporting</w:t>
      </w:r>
      <w:r w:rsidR="00FB6CE3" w:rsidRPr="005F52A4">
        <w:t xml:space="preserve"> moderation.</w:t>
      </w:r>
      <w:r w:rsidR="00FB6CE3">
        <w:t xml:space="preserve"> </w:t>
      </w:r>
    </w:p>
    <w:p w14:paraId="0D2DE236" w14:textId="2401DDF1" w:rsidR="00FB6CE3" w:rsidRDefault="00FB6CE3" w:rsidP="001515D2">
      <w:pPr>
        <w:widowControl w:val="0"/>
        <w:suppressAutoHyphens w:val="0"/>
        <w:autoSpaceDE w:val="0"/>
        <w:autoSpaceDN w:val="0"/>
        <w:adjustRightInd w:val="0"/>
        <w:spacing w:line="480" w:lineRule="auto"/>
        <w:ind w:firstLine="720"/>
      </w:pPr>
      <w:r>
        <w:t xml:space="preserve">For job attitudes, </w:t>
      </w:r>
      <w:r w:rsidR="00E008B4">
        <w:t xml:space="preserve">and </w:t>
      </w:r>
      <w:r>
        <w:t xml:space="preserve">contrary to prediction, correlations were weaker </w:t>
      </w:r>
      <w:r w:rsidRPr="00D56093">
        <w:t>in</w:t>
      </w:r>
      <w:r>
        <w:t xml:space="preserve"> countries with higher labor policy integration and practice enforcement scores </w:t>
      </w:r>
      <w:r w:rsidRPr="00F604AF">
        <w:t>(</w:t>
      </w:r>
      <m:oMath>
        <m:acc>
          <m:accPr>
            <m:ctrlPr>
              <w:rPr>
                <w:rFonts w:ascii="Cambria Math" w:hAnsi="Cambria Math"/>
                <w:i/>
              </w:rPr>
            </m:ctrlPr>
          </m:accPr>
          <m:e>
            <m:r>
              <w:rPr>
                <w:rFonts w:ascii="Cambria Math" w:hAnsi="Cambria Math"/>
              </w:rPr>
              <m:t>ρ</m:t>
            </m:r>
          </m:e>
        </m:acc>
      </m:oMath>
      <w:r>
        <w:t xml:space="preserve"> = -.17</w:t>
      </w:r>
      <w:r w:rsidRPr="00F604AF">
        <w:t>)</w:t>
      </w:r>
      <w:r>
        <w:t xml:space="preserve"> than </w:t>
      </w:r>
      <w:r w:rsidR="004A3EC0">
        <w:t xml:space="preserve">in </w:t>
      </w:r>
      <w:r>
        <w:t xml:space="preserve">countries with lower scores </w:t>
      </w:r>
      <w:r w:rsidRPr="00F604AF">
        <w:t>(</w:t>
      </w:r>
      <m:oMath>
        <m:acc>
          <m:accPr>
            <m:ctrlPr>
              <w:rPr>
                <w:rFonts w:ascii="Cambria Math" w:hAnsi="Cambria Math"/>
                <w:i/>
              </w:rPr>
            </m:ctrlPr>
          </m:accPr>
          <m:e>
            <m:r>
              <w:rPr>
                <w:rFonts w:ascii="Cambria Math" w:hAnsi="Cambria Math"/>
              </w:rPr>
              <m:t>ρ</m:t>
            </m:r>
          </m:e>
        </m:acc>
      </m:oMath>
      <w:r>
        <w:t xml:space="preserve"> = -.34</w:t>
      </w:r>
      <w:r w:rsidRPr="00F604AF">
        <w:t>)</w:t>
      </w:r>
      <w:r>
        <w:t xml:space="preserve">. The average corrected variance for the </w:t>
      </w:r>
      <w:r w:rsidR="00CB01D8">
        <w:t xml:space="preserve">high and low </w:t>
      </w:r>
      <w:r>
        <w:t>subsets (.01</w:t>
      </w:r>
      <w:r w:rsidR="002765AF">
        <w:t>5</w:t>
      </w:r>
      <w:r>
        <w:t xml:space="preserve">) is less than the corrected variance for the job attitudes category </w:t>
      </w:r>
      <w:r w:rsidRPr="002765AF">
        <w:t>as a whole (.02</w:t>
      </w:r>
      <w:r w:rsidR="00D81E86" w:rsidRPr="002765AF">
        <w:t>1</w:t>
      </w:r>
      <w:r w:rsidRPr="002765AF">
        <w:t>)</w:t>
      </w:r>
      <w:r w:rsidR="00E43BCD" w:rsidRPr="002765AF">
        <w:t>,</w:t>
      </w:r>
      <w:r w:rsidRPr="002765AF">
        <w:t xml:space="preserve"> </w:t>
      </w:r>
      <w:r w:rsidR="00595341" w:rsidRPr="002765AF">
        <w:t>supporting</w:t>
      </w:r>
      <w:r>
        <w:t xml:space="preserve"> moderation. </w:t>
      </w:r>
      <w:r w:rsidR="004A3EC0">
        <w:t>F</w:t>
      </w:r>
      <w:r>
        <w:t>or psychological health and job-based work outcomes, the correlations were weaker in countries with high labor policy integration and stricter practice enforcement scores (</w:t>
      </w:r>
      <m:oMath>
        <m:acc>
          <m:accPr>
            <m:ctrlPr>
              <w:rPr>
                <w:rFonts w:ascii="Cambria Math" w:hAnsi="Cambria Math"/>
                <w:i/>
              </w:rPr>
            </m:ctrlPr>
          </m:accPr>
          <m:e>
            <m:r>
              <w:rPr>
                <w:rFonts w:ascii="Cambria Math" w:hAnsi="Cambria Math"/>
              </w:rPr>
              <m:t>ρ</m:t>
            </m:r>
          </m:e>
        </m:acc>
      </m:oMath>
      <w:r>
        <w:t xml:space="preserve"> </w:t>
      </w:r>
      <w:r w:rsidRPr="002B74DD">
        <w:rPr>
          <w:vertAlign w:val="subscript"/>
        </w:rPr>
        <w:t>psychological health</w:t>
      </w:r>
      <w:r>
        <w:t xml:space="preserve"> = -.07; </w:t>
      </w:r>
      <m:oMath>
        <m:acc>
          <m:accPr>
            <m:ctrlPr>
              <w:rPr>
                <w:rFonts w:ascii="Cambria Math" w:hAnsi="Cambria Math"/>
                <w:i/>
              </w:rPr>
            </m:ctrlPr>
          </m:accPr>
          <m:e>
            <m:r>
              <w:rPr>
                <w:rFonts w:ascii="Cambria Math" w:hAnsi="Cambria Math"/>
              </w:rPr>
              <m:t>ρ</m:t>
            </m:r>
          </m:e>
        </m:acc>
      </m:oMath>
      <w:r>
        <w:t xml:space="preserve"> </w:t>
      </w:r>
      <w:r w:rsidRPr="002B74DD">
        <w:rPr>
          <w:vertAlign w:val="subscript"/>
        </w:rPr>
        <w:t>job-based work</w:t>
      </w:r>
      <w:r>
        <w:t xml:space="preserve"> = -.0</w:t>
      </w:r>
      <w:r w:rsidR="00D262C9">
        <w:t>1</w:t>
      </w:r>
      <w:r>
        <w:t>) compared to countries with lower scores (</w:t>
      </w:r>
      <m:oMath>
        <m:acc>
          <m:accPr>
            <m:ctrlPr>
              <w:rPr>
                <w:rFonts w:ascii="Cambria Math" w:hAnsi="Cambria Math"/>
                <w:i/>
              </w:rPr>
            </m:ctrlPr>
          </m:accPr>
          <m:e>
            <m:r>
              <w:rPr>
                <w:rFonts w:ascii="Cambria Math" w:hAnsi="Cambria Math"/>
              </w:rPr>
              <m:t>ρ</m:t>
            </m:r>
          </m:e>
        </m:acc>
      </m:oMath>
      <w:r>
        <w:t xml:space="preserve"> </w:t>
      </w:r>
      <w:r w:rsidRPr="00FA0D20">
        <w:rPr>
          <w:vertAlign w:val="subscript"/>
        </w:rPr>
        <w:t>psychological health</w:t>
      </w:r>
      <w:r>
        <w:t xml:space="preserve"> = -.27; </w:t>
      </w:r>
      <m:oMath>
        <m:acc>
          <m:accPr>
            <m:ctrlPr>
              <w:rPr>
                <w:rFonts w:ascii="Cambria Math" w:hAnsi="Cambria Math"/>
                <w:i/>
              </w:rPr>
            </m:ctrlPr>
          </m:accPr>
          <m:e>
            <m:r>
              <w:rPr>
                <w:rFonts w:ascii="Cambria Math" w:hAnsi="Cambria Math"/>
              </w:rPr>
              <m:t>ρ</m:t>
            </m:r>
          </m:e>
        </m:acc>
      </m:oMath>
      <w:r>
        <w:t xml:space="preserve"> </w:t>
      </w:r>
      <w:r w:rsidRPr="00FA0D20">
        <w:rPr>
          <w:vertAlign w:val="subscript"/>
        </w:rPr>
        <w:t>job-based work</w:t>
      </w:r>
      <w:r>
        <w:t xml:space="preserve"> = -.</w:t>
      </w:r>
      <w:r w:rsidR="002765AF">
        <w:t>18</w:t>
      </w:r>
      <w:r>
        <w:t>).</w:t>
      </w:r>
      <w:r w:rsidR="00341AC1">
        <w:t xml:space="preserve"> </w:t>
      </w:r>
      <w:r w:rsidR="004A3EC0">
        <w:t>For both outcomes, t</w:t>
      </w:r>
      <w:r>
        <w:t>he average corrected variance is less for the high and low sub</w:t>
      </w:r>
      <w:r w:rsidR="00783C81">
        <w:t>set</w:t>
      </w:r>
      <w:r>
        <w:t>s (</w:t>
      </w:r>
      <w:r w:rsidR="004A3EC0">
        <w:t xml:space="preserve">psychological health = </w:t>
      </w:r>
      <w:r>
        <w:t>.003</w:t>
      </w:r>
      <w:r w:rsidR="004A3EC0">
        <w:t>; job-based work outcomes = .001</w:t>
      </w:r>
      <w:r>
        <w:t>) than for the overall true score correlation (</w:t>
      </w:r>
      <w:r w:rsidR="004A3EC0">
        <w:t xml:space="preserve">psychological health = </w:t>
      </w:r>
      <w:r>
        <w:t>.01</w:t>
      </w:r>
      <w:r w:rsidR="004A3EC0">
        <w:t>; job-based work outcomes = .005</w:t>
      </w:r>
      <w:r w:rsidRPr="008E5D86">
        <w:t>).</w:t>
      </w:r>
      <w:r>
        <w:t xml:space="preserve"> We did not have sufficient data in the relationship-based work outcomes category to run this analysis</w:t>
      </w:r>
      <w:r w:rsidR="004A3EC0">
        <w:t>.</w:t>
      </w:r>
      <w:r>
        <w:t xml:space="preserve"> In sum, Hypothesis 2 was supported only in the case of physical health outcomes and behaviors.  </w:t>
      </w:r>
    </w:p>
    <w:p w14:paraId="344BED7C" w14:textId="0B8AB4EA" w:rsidR="001C5277" w:rsidRDefault="00FB6CE3" w:rsidP="001515D2">
      <w:pPr>
        <w:widowControl w:val="0"/>
        <w:suppressAutoHyphens w:val="0"/>
        <w:autoSpaceDE w:val="0"/>
        <w:autoSpaceDN w:val="0"/>
        <w:adjustRightInd w:val="0"/>
        <w:spacing w:line="480" w:lineRule="auto"/>
        <w:ind w:firstLine="720"/>
      </w:pPr>
      <w:r>
        <w:t xml:space="preserve">Hypothesis 3, which </w:t>
      </w:r>
      <w:r w:rsidR="004A3EC0">
        <w:t>examined the moderating effect of gender egalitarianism</w:t>
      </w:r>
      <w:r>
        <w:t xml:space="preserve">, was supported. As shown in Table </w:t>
      </w:r>
      <w:r w:rsidR="00350E7C">
        <w:t>3</w:t>
      </w:r>
      <w:r>
        <w:t>, correlations were stronger for job attitudes in more gender</w:t>
      </w:r>
      <w:r w:rsidR="00E43BCD">
        <w:t>-</w:t>
      </w:r>
      <w:r>
        <w:t>egalitarian countries (</w:t>
      </w:r>
      <m:oMath>
        <m:acc>
          <m:accPr>
            <m:ctrlPr>
              <w:rPr>
                <w:rFonts w:ascii="Cambria Math" w:hAnsi="Cambria Math"/>
                <w:i/>
              </w:rPr>
            </m:ctrlPr>
          </m:accPr>
          <m:e>
            <m:r>
              <w:rPr>
                <w:rFonts w:ascii="Cambria Math" w:hAnsi="Cambria Math"/>
              </w:rPr>
              <m:t>ρ</m:t>
            </m:r>
          </m:e>
        </m:acc>
      </m:oMath>
      <w:r w:rsidRPr="001515D2">
        <w:rPr>
          <w:vertAlign w:val="subscript"/>
        </w:rPr>
        <w:t>Band A</w:t>
      </w:r>
      <w:r>
        <w:t xml:space="preserve"> = -.36) than in less gender</w:t>
      </w:r>
      <w:r w:rsidR="00E43BCD">
        <w:t>-</w:t>
      </w:r>
      <w:r w:rsidRPr="002765AF">
        <w:t>egalitarian countries (</w:t>
      </w:r>
      <m:oMath>
        <m:acc>
          <m:accPr>
            <m:ctrlPr>
              <w:rPr>
                <w:rFonts w:ascii="Cambria Math" w:hAnsi="Cambria Math"/>
                <w:i/>
              </w:rPr>
            </m:ctrlPr>
          </m:accPr>
          <m:e>
            <m:r>
              <w:rPr>
                <w:rFonts w:ascii="Cambria Math" w:hAnsi="Cambria Math"/>
              </w:rPr>
              <m:t>ρ</m:t>
            </m:r>
          </m:e>
        </m:acc>
      </m:oMath>
      <w:r w:rsidRPr="002765AF">
        <w:rPr>
          <w:vertAlign w:val="subscript"/>
        </w:rPr>
        <w:t>Band B</w:t>
      </w:r>
      <w:r w:rsidRPr="002765AF">
        <w:t xml:space="preserve"> = -.</w:t>
      </w:r>
      <w:r w:rsidR="00D81E86" w:rsidRPr="002765AF">
        <w:t>28</w:t>
      </w:r>
      <w:r w:rsidR="002765AF" w:rsidRPr="002765AF">
        <w:t xml:space="preserve">; and </w:t>
      </w:r>
      <m:oMath>
        <m:acc>
          <m:accPr>
            <m:ctrlPr>
              <w:rPr>
                <w:rFonts w:ascii="Cambria Math" w:hAnsi="Cambria Math"/>
                <w:i/>
              </w:rPr>
            </m:ctrlPr>
          </m:accPr>
          <m:e>
            <m:r>
              <w:rPr>
                <w:rFonts w:ascii="Cambria Math" w:hAnsi="Cambria Math"/>
              </w:rPr>
              <m:t>ρ</m:t>
            </m:r>
          </m:e>
        </m:acc>
      </m:oMath>
      <w:r w:rsidR="002765AF" w:rsidRPr="002765AF">
        <w:rPr>
          <w:vertAlign w:val="subscript"/>
        </w:rPr>
        <w:t>Band C</w:t>
      </w:r>
      <w:r w:rsidR="002765AF" w:rsidRPr="002765AF">
        <w:t xml:space="preserve"> = -.21</w:t>
      </w:r>
      <w:r w:rsidRPr="002765AF">
        <w:t>). The average corrected variance for the subsets (.</w:t>
      </w:r>
      <w:r>
        <w:t>01</w:t>
      </w:r>
      <w:r w:rsidR="00D849D0">
        <w:t>2</w:t>
      </w:r>
      <w:r>
        <w:t xml:space="preserve">) is less than the corrected variance for the job attitudes category as a </w:t>
      </w:r>
      <w:r w:rsidRPr="002765AF">
        <w:t>whole (.02</w:t>
      </w:r>
      <w:r w:rsidR="00D81E86" w:rsidRPr="002765AF">
        <w:t>1</w:t>
      </w:r>
      <w:r w:rsidRPr="002765AF">
        <w:t>)</w:t>
      </w:r>
      <w:r w:rsidR="00E43BCD" w:rsidRPr="002765AF">
        <w:t>,</w:t>
      </w:r>
      <w:r w:rsidRPr="002765AF">
        <w:t xml:space="preserve"> </w:t>
      </w:r>
      <w:r>
        <w:t>support</w:t>
      </w:r>
      <w:r w:rsidR="004A3EC0">
        <w:t>ing</w:t>
      </w:r>
      <w:r>
        <w:t xml:space="preserve"> moderation. The same was true for physical health outcomes and behaviors (</w:t>
      </w:r>
      <m:oMath>
        <m:acc>
          <m:accPr>
            <m:ctrlPr>
              <w:rPr>
                <w:rFonts w:ascii="Cambria Math" w:hAnsi="Cambria Math"/>
                <w:i/>
              </w:rPr>
            </m:ctrlPr>
          </m:accPr>
          <m:e>
            <m:r>
              <w:rPr>
                <w:rFonts w:ascii="Cambria Math" w:hAnsi="Cambria Math"/>
              </w:rPr>
              <m:t>ρ</m:t>
            </m:r>
          </m:e>
        </m:acc>
      </m:oMath>
      <w:r w:rsidRPr="001515D2">
        <w:rPr>
          <w:vertAlign w:val="subscript"/>
        </w:rPr>
        <w:t>Band A</w:t>
      </w:r>
      <w:r>
        <w:t xml:space="preserve"> = -.31 compared to </w:t>
      </w:r>
      <m:oMath>
        <m:acc>
          <m:accPr>
            <m:ctrlPr>
              <w:rPr>
                <w:rFonts w:ascii="Cambria Math" w:hAnsi="Cambria Math"/>
                <w:i/>
              </w:rPr>
            </m:ctrlPr>
          </m:accPr>
          <m:e>
            <m:r>
              <w:rPr>
                <w:rFonts w:ascii="Cambria Math" w:hAnsi="Cambria Math"/>
              </w:rPr>
              <m:t>ρ</m:t>
            </m:r>
          </m:e>
        </m:acc>
      </m:oMath>
      <w:r w:rsidRPr="001515D2">
        <w:rPr>
          <w:vertAlign w:val="subscript"/>
        </w:rPr>
        <w:t>Band B</w:t>
      </w:r>
      <w:r>
        <w:t xml:space="preserve"> = -.17). The average of the corrected variance </w:t>
      </w:r>
      <w:r w:rsidR="00005D2A">
        <w:t>for the sub</w:t>
      </w:r>
      <w:r w:rsidR="00610C63">
        <w:t>set</w:t>
      </w:r>
      <w:r w:rsidR="004770FA">
        <w:t>s</w:t>
      </w:r>
      <w:r w:rsidR="00005D2A">
        <w:t xml:space="preserve"> </w:t>
      </w:r>
      <w:r>
        <w:t>(.00</w:t>
      </w:r>
      <w:r w:rsidR="008B38A3">
        <w:t>1</w:t>
      </w:r>
      <w:r>
        <w:t xml:space="preserve">) </w:t>
      </w:r>
      <w:r w:rsidR="00244EE7">
        <w:t xml:space="preserve">is less </w:t>
      </w:r>
      <w:r>
        <w:t>than th</w:t>
      </w:r>
      <w:r w:rsidR="007E08E1">
        <w:t>e corrected variance</w:t>
      </w:r>
      <w:r>
        <w:t xml:space="preserve"> for the </w:t>
      </w:r>
      <w:r w:rsidR="00783C81">
        <w:lastRenderedPageBreak/>
        <w:t>category as a whole</w:t>
      </w:r>
      <w:r>
        <w:t xml:space="preserve"> (.00</w:t>
      </w:r>
      <w:r w:rsidR="006D7598">
        <w:t>3</w:t>
      </w:r>
      <w:r>
        <w:t xml:space="preserve">), which supports moderation. </w:t>
      </w:r>
    </w:p>
    <w:p w14:paraId="5FE28CE8" w14:textId="77777777" w:rsidR="00FB6CE3" w:rsidRDefault="00FB6CE3" w:rsidP="001515D2">
      <w:pPr>
        <w:widowControl w:val="0"/>
        <w:suppressAutoHyphens w:val="0"/>
        <w:autoSpaceDE w:val="0"/>
        <w:autoSpaceDN w:val="0"/>
        <w:adjustRightInd w:val="0"/>
        <w:spacing w:line="480" w:lineRule="auto"/>
        <w:ind w:firstLine="720"/>
      </w:pPr>
      <w:r>
        <w:t xml:space="preserve">Table </w:t>
      </w:r>
      <w:r w:rsidR="00350E7C">
        <w:t>3</w:t>
      </w:r>
      <w:r>
        <w:t xml:space="preserve"> shows the same pattern for psychological health (</w:t>
      </w:r>
      <m:oMath>
        <m:acc>
          <m:accPr>
            <m:ctrlPr>
              <w:rPr>
                <w:rFonts w:ascii="Cambria Math" w:hAnsi="Cambria Math"/>
                <w:i/>
              </w:rPr>
            </m:ctrlPr>
          </m:accPr>
          <m:e>
            <m:r>
              <w:rPr>
                <w:rFonts w:ascii="Cambria Math" w:hAnsi="Cambria Math"/>
              </w:rPr>
              <m:t>ρ</m:t>
            </m:r>
          </m:e>
        </m:acc>
      </m:oMath>
      <w:r w:rsidRPr="001515D2">
        <w:rPr>
          <w:vertAlign w:val="subscript"/>
        </w:rPr>
        <w:t>Band A</w:t>
      </w:r>
      <w:r>
        <w:t xml:space="preserve"> = -.31 compared to </w:t>
      </w:r>
      <m:oMath>
        <m:acc>
          <m:accPr>
            <m:ctrlPr>
              <w:rPr>
                <w:rFonts w:ascii="Cambria Math" w:hAnsi="Cambria Math"/>
                <w:i/>
              </w:rPr>
            </m:ctrlPr>
          </m:accPr>
          <m:e>
            <m:r>
              <w:rPr>
                <w:rFonts w:ascii="Cambria Math" w:hAnsi="Cambria Math"/>
              </w:rPr>
              <m:t>ρ</m:t>
            </m:r>
          </m:e>
        </m:acc>
      </m:oMath>
      <w:r w:rsidRPr="001515D2">
        <w:rPr>
          <w:vertAlign w:val="subscript"/>
        </w:rPr>
        <w:t>Band B</w:t>
      </w:r>
      <w:r>
        <w:t xml:space="preserve"> = -.</w:t>
      </w:r>
      <w:r w:rsidR="00A82435">
        <w:t>19</w:t>
      </w:r>
      <w:r>
        <w:t>)</w:t>
      </w:r>
      <w:r w:rsidR="00120583">
        <w:t>. T</w:t>
      </w:r>
      <w:r w:rsidR="00120583" w:rsidRPr="00120583">
        <w:t>he average of the corrected variance is less for the high and low sub</w:t>
      </w:r>
      <w:r w:rsidR="00610C63">
        <w:t>set</w:t>
      </w:r>
      <w:r w:rsidR="00120583" w:rsidRPr="00120583">
        <w:t xml:space="preserve">s </w:t>
      </w:r>
      <w:r w:rsidR="00120583">
        <w:t xml:space="preserve">of </w:t>
      </w:r>
      <w:r w:rsidR="00120583" w:rsidRPr="00120583">
        <w:t xml:space="preserve">psychological health </w:t>
      </w:r>
      <w:r w:rsidR="00120583">
        <w:t>(</w:t>
      </w:r>
      <w:r w:rsidR="00120583" w:rsidRPr="00120583">
        <w:t>.00</w:t>
      </w:r>
      <w:r w:rsidR="00A82435">
        <w:t>5</w:t>
      </w:r>
      <w:r w:rsidR="00120583">
        <w:t>)</w:t>
      </w:r>
      <w:r>
        <w:t xml:space="preserve"> </w:t>
      </w:r>
      <w:r w:rsidR="00120583" w:rsidRPr="00120583">
        <w:t>than the corrected variance</w:t>
      </w:r>
      <w:r w:rsidR="00120583">
        <w:t xml:space="preserve"> for the overall </w:t>
      </w:r>
      <w:r w:rsidR="00783C81">
        <w:t>category</w:t>
      </w:r>
      <w:r w:rsidR="00120583">
        <w:t xml:space="preserve"> (.01). For</w:t>
      </w:r>
      <w:r>
        <w:t xml:space="preserve"> job-based work outcomes</w:t>
      </w:r>
      <w:r w:rsidR="00120583">
        <w:t xml:space="preserve">, the effect sizes are in the direction predicted in Hypothesis 3 </w:t>
      </w:r>
      <w:r>
        <w:t>(</w:t>
      </w:r>
      <m:oMath>
        <m:acc>
          <m:accPr>
            <m:ctrlPr>
              <w:rPr>
                <w:rFonts w:ascii="Cambria Math" w:hAnsi="Cambria Math"/>
                <w:i/>
              </w:rPr>
            </m:ctrlPr>
          </m:accPr>
          <m:e>
            <m:r>
              <w:rPr>
                <w:rFonts w:ascii="Cambria Math" w:hAnsi="Cambria Math"/>
              </w:rPr>
              <m:t>ρ</m:t>
            </m:r>
          </m:e>
        </m:acc>
      </m:oMath>
      <w:r w:rsidRPr="001515D2">
        <w:rPr>
          <w:vertAlign w:val="subscript"/>
        </w:rPr>
        <w:t>Band A</w:t>
      </w:r>
      <w:r>
        <w:t xml:space="preserve"> = -.22 compared to </w:t>
      </w:r>
      <m:oMath>
        <m:acc>
          <m:accPr>
            <m:ctrlPr>
              <w:rPr>
                <w:rFonts w:ascii="Cambria Math" w:hAnsi="Cambria Math"/>
                <w:i/>
              </w:rPr>
            </m:ctrlPr>
          </m:accPr>
          <m:e>
            <m:r>
              <w:rPr>
                <w:rFonts w:ascii="Cambria Math" w:hAnsi="Cambria Math"/>
              </w:rPr>
              <m:t>ρ</m:t>
            </m:r>
          </m:e>
        </m:acc>
      </m:oMath>
      <w:r w:rsidRPr="001515D2">
        <w:rPr>
          <w:vertAlign w:val="subscript"/>
        </w:rPr>
        <w:t>Band B</w:t>
      </w:r>
      <w:r>
        <w:t xml:space="preserve"> </w:t>
      </w:r>
      <w:r w:rsidRPr="00120583">
        <w:t>= -.</w:t>
      </w:r>
      <w:r w:rsidR="00D81E86" w:rsidRPr="00120583">
        <w:t>04</w:t>
      </w:r>
      <w:r w:rsidRPr="00120583">
        <w:t>)</w:t>
      </w:r>
      <w:r w:rsidR="00120583">
        <w:t>, but the average corrected variance for the sub</w:t>
      </w:r>
      <w:r w:rsidR="00610C63">
        <w:t>set</w:t>
      </w:r>
      <w:r w:rsidR="00120583">
        <w:t>s (.</w:t>
      </w:r>
      <w:r w:rsidR="009514EC">
        <w:t>00</w:t>
      </w:r>
      <w:r w:rsidR="00120583">
        <w:t>6</w:t>
      </w:r>
      <w:r>
        <w:t>)</w:t>
      </w:r>
      <w:r w:rsidR="00120583">
        <w:t xml:space="preserve"> was not lower than that of the corrected variance for the overall category (.005)</w:t>
      </w:r>
      <w:r>
        <w:t xml:space="preserve">. </w:t>
      </w:r>
      <w:r w:rsidRPr="00333848">
        <w:t>There w</w:t>
      </w:r>
      <w:r>
        <w:t xml:space="preserve">as insufficient variance in the GLOBE national culture score bands for gender egalitarianism to run this analysis for the relationship-based work outcomes category. Thus, Hypothesis 3 was </w:t>
      </w:r>
      <w:r w:rsidR="00284B06">
        <w:t xml:space="preserve">fully </w:t>
      </w:r>
      <w:r>
        <w:t xml:space="preserve">supported for job attitudes, physical health outcomes and behaviors, </w:t>
      </w:r>
      <w:r w:rsidR="00284B06">
        <w:t xml:space="preserve">and </w:t>
      </w:r>
      <w:r>
        <w:t xml:space="preserve">psychological health, and </w:t>
      </w:r>
      <w:r w:rsidR="00120583">
        <w:t>part</w:t>
      </w:r>
      <w:r w:rsidR="00284B06">
        <w:t>ly</w:t>
      </w:r>
      <w:r w:rsidR="00120583">
        <w:t xml:space="preserve"> </w:t>
      </w:r>
      <w:r w:rsidR="00284B06">
        <w:t xml:space="preserve">supported </w:t>
      </w:r>
      <w:r w:rsidR="00120583">
        <w:t xml:space="preserve">for </w:t>
      </w:r>
      <w:r>
        <w:t xml:space="preserve">job-based work outcomes.  </w:t>
      </w:r>
    </w:p>
    <w:p w14:paraId="1144787A" w14:textId="77777777" w:rsidR="00E55B49" w:rsidRDefault="00E55B49" w:rsidP="001515D2">
      <w:pPr>
        <w:widowControl w:val="0"/>
        <w:suppressAutoHyphens w:val="0"/>
        <w:autoSpaceDE w:val="0"/>
        <w:autoSpaceDN w:val="0"/>
        <w:adjustRightInd w:val="0"/>
        <w:spacing w:line="480" w:lineRule="auto"/>
        <w:ind w:firstLine="720"/>
      </w:pPr>
      <w:r>
        <w:t xml:space="preserve">We </w:t>
      </w:r>
      <w:r w:rsidR="00006492">
        <w:t xml:space="preserve">also </w:t>
      </w:r>
      <w:r>
        <w:t xml:space="preserve">tested for publication bias and </w:t>
      </w:r>
      <w:r w:rsidR="00456282">
        <w:t xml:space="preserve">found </w:t>
      </w:r>
      <w:r w:rsidR="003F1796">
        <w:t>little</w:t>
      </w:r>
      <w:r w:rsidR="00006492">
        <w:t xml:space="preserve"> evidence </w:t>
      </w:r>
      <w:r w:rsidR="00456282">
        <w:t xml:space="preserve">of </w:t>
      </w:r>
      <w:r w:rsidR="003F1796">
        <w:t>thi</w:t>
      </w:r>
      <w:r w:rsidR="00006492" w:rsidRPr="00020110">
        <w:t>s in our sample</w:t>
      </w:r>
      <w:r w:rsidR="003F1796">
        <w:t xml:space="preserve"> (see</w:t>
      </w:r>
      <w:r w:rsidR="00006492">
        <w:t xml:space="preserve"> </w:t>
      </w:r>
      <w:r>
        <w:t>Appendix D in the online supplement</w:t>
      </w:r>
      <w:r w:rsidR="003F1796">
        <w:t xml:space="preserve"> for</w:t>
      </w:r>
      <w:r>
        <w:t xml:space="preserve"> the results</w:t>
      </w:r>
      <w:r w:rsidR="003F1796">
        <w:t>)</w:t>
      </w:r>
      <w:r w:rsidR="00006492">
        <w:t>.</w:t>
      </w:r>
    </w:p>
    <w:p w14:paraId="0ACE8BC8" w14:textId="77777777" w:rsidR="00FB6CE3" w:rsidRDefault="00FB6CE3" w:rsidP="001515D2">
      <w:pPr>
        <w:widowControl w:val="0"/>
        <w:suppressAutoHyphens w:val="0"/>
        <w:autoSpaceDE w:val="0"/>
        <w:autoSpaceDN w:val="0"/>
        <w:adjustRightInd w:val="0"/>
        <w:spacing w:line="480" w:lineRule="auto"/>
        <w:rPr>
          <w:rFonts w:ascii="TimesNewRoman" w:eastAsia="Calibri" w:hAnsi="TimesNewRoman" w:cs="TimesNewRoman"/>
          <w:b/>
          <w:lang w:eastAsia="en-US"/>
        </w:rPr>
      </w:pPr>
      <w:r>
        <w:rPr>
          <w:rFonts w:ascii="TimesNewRoman" w:eastAsia="Calibri" w:hAnsi="TimesNewRoman" w:cs="TimesNewRoman"/>
          <w:b/>
          <w:lang w:eastAsia="en-US"/>
        </w:rPr>
        <w:t xml:space="preserve">The Influence of </w:t>
      </w:r>
      <w:r w:rsidR="00BB6032">
        <w:rPr>
          <w:rFonts w:ascii="TimesNewRoman" w:eastAsia="Calibri" w:hAnsi="TimesNewRoman" w:cs="TimesNewRoman"/>
          <w:b/>
          <w:lang w:eastAsia="en-US"/>
        </w:rPr>
        <w:t>the Civil Rights Act of 1991</w:t>
      </w:r>
      <w:r>
        <w:rPr>
          <w:rFonts w:ascii="TimesNewRoman" w:eastAsia="Calibri" w:hAnsi="TimesNewRoman" w:cs="TimesNewRoman"/>
          <w:b/>
          <w:lang w:eastAsia="en-US"/>
        </w:rPr>
        <w:t xml:space="preserve"> </w:t>
      </w:r>
      <w:r w:rsidR="00EE6D8A">
        <w:rPr>
          <w:rFonts w:ascii="TimesNewRoman" w:eastAsia="Calibri" w:hAnsi="TimesNewRoman" w:cs="TimesNewRoman"/>
          <w:b/>
          <w:lang w:eastAsia="en-US"/>
        </w:rPr>
        <w:t>on Effect Sizes</w:t>
      </w:r>
    </w:p>
    <w:p w14:paraId="30D5389F" w14:textId="77777777" w:rsidR="00FB6CE3" w:rsidRDefault="00FB6CE3" w:rsidP="001515D2">
      <w:pPr>
        <w:widowControl w:val="0"/>
        <w:suppressAutoHyphens w:val="0"/>
        <w:spacing w:line="480" w:lineRule="auto"/>
        <w:ind w:firstLine="720"/>
      </w:pPr>
      <w:r>
        <w:t xml:space="preserve">If national law </w:t>
      </w:r>
      <w:r w:rsidR="00F55591">
        <w:t xml:space="preserve">that integrates gender equality in labor policy and enforces it through labor practice </w:t>
      </w:r>
      <w:r>
        <w:t xml:space="preserve">changes </w:t>
      </w:r>
      <w:r w:rsidR="00767E88">
        <w:t xml:space="preserve">to </w:t>
      </w:r>
      <w:r>
        <w:t xml:space="preserve">reflect </w:t>
      </w:r>
      <w:r w:rsidR="00767E88">
        <w:t xml:space="preserve">a </w:t>
      </w:r>
      <w:r>
        <w:t>recognition of employment discrimination as a greater wrong punishable by greater penalties, then the threshold for tolerating unfair treatment can also be lowered (Crosby, 1976).</w:t>
      </w:r>
      <w:r w:rsidRPr="005D42A4">
        <w:t xml:space="preserve"> </w:t>
      </w:r>
      <w:r w:rsidR="00BD4956">
        <w:t>W</w:t>
      </w:r>
      <w:r>
        <w:t>e compared articles published in the U.S. after 1991 to those published in 1991 or earlier</w:t>
      </w:r>
      <w:r w:rsidR="00743676">
        <w:t xml:space="preserve"> because</w:t>
      </w:r>
      <w:r>
        <w:t xml:space="preserve"> this demarcates the passage of the Civil Rights Act of 1991</w:t>
      </w:r>
      <w:r w:rsidR="00502FB7">
        <w:t>,</w:t>
      </w:r>
      <w:r w:rsidR="00502FB7" w:rsidRPr="00502FB7">
        <w:t xml:space="preserve"> </w:t>
      </w:r>
      <w:r w:rsidR="00502FB7">
        <w:t>an act strengthening the Civil Rights Act of 1964 and allowing for punitive damages to be paid to victims</w:t>
      </w:r>
      <w:r>
        <w:t xml:space="preserve">. We followed the reasoning of Triana, Jayasinghe, and Pieper (2015) who conducted subgroup analyses for U.S. samples before and after the passage of </w:t>
      </w:r>
      <w:r w:rsidR="00502FB7">
        <w:t>this act</w:t>
      </w:r>
      <w:r>
        <w:t xml:space="preserve">. </w:t>
      </w:r>
      <w:r w:rsidR="00502FB7">
        <w:t>Its p</w:t>
      </w:r>
      <w:r>
        <w:t xml:space="preserve">assing </w:t>
      </w:r>
      <w:r w:rsidR="00743676">
        <w:t>was</w:t>
      </w:r>
      <w:r w:rsidR="004600C8">
        <w:t xml:space="preserve"> likely</w:t>
      </w:r>
      <w:r w:rsidR="00743676">
        <w:t xml:space="preserve"> momentous in affecting</w:t>
      </w:r>
      <w:r>
        <w:t xml:space="preserve"> the societal dictates on fair treatment in the workplace. </w:t>
      </w:r>
    </w:p>
    <w:p w14:paraId="7EE9F1BE" w14:textId="77777777" w:rsidR="00FB6CE3" w:rsidRDefault="00FB6CE3" w:rsidP="001515D2">
      <w:pPr>
        <w:widowControl w:val="0"/>
        <w:suppressAutoHyphens w:val="0"/>
        <w:autoSpaceDE w:val="0"/>
        <w:autoSpaceDN w:val="0"/>
        <w:adjustRightInd w:val="0"/>
        <w:spacing w:line="480" w:lineRule="auto"/>
        <w:ind w:firstLine="720"/>
        <w:rPr>
          <w:rFonts w:ascii="TimesNewRoman" w:eastAsia="Calibri" w:hAnsi="TimesNewRoman" w:cs="TimesNewRoman"/>
          <w:lang w:eastAsia="en-US"/>
        </w:rPr>
      </w:pPr>
      <w:r>
        <w:lastRenderedPageBreak/>
        <w:t xml:space="preserve">We conducted this analysis </w:t>
      </w:r>
      <w:r w:rsidR="00FF0684">
        <w:t>for</w:t>
      </w:r>
      <w:r>
        <w:t xml:space="preserve"> the job attitudes </w:t>
      </w:r>
      <w:r w:rsidR="00743676">
        <w:t>category</w:t>
      </w:r>
      <w:r>
        <w:t xml:space="preserve"> where there were sufficient studies published both </w:t>
      </w:r>
      <w:r w:rsidR="00007318">
        <w:t>before</w:t>
      </w:r>
      <w:r>
        <w:t xml:space="preserve"> and after 1991. </w:t>
      </w:r>
      <w:r w:rsidDel="00735F7F">
        <w:t xml:space="preserve">Results </w:t>
      </w:r>
      <w:r w:rsidDel="00735F7F">
        <w:rPr>
          <w:rFonts w:ascii="TimesNewRoman" w:eastAsia="Calibri" w:hAnsi="TimesNewRoman" w:cs="TimesNewRoman"/>
          <w:lang w:eastAsia="en-US"/>
        </w:rPr>
        <w:t xml:space="preserve">showed </w:t>
      </w:r>
      <w:r>
        <w:rPr>
          <w:rFonts w:ascii="TimesNewRoman" w:eastAsia="Calibri" w:hAnsi="TimesNewRoman" w:cs="TimesNewRoman"/>
          <w:lang w:eastAsia="en-US"/>
        </w:rPr>
        <w:t xml:space="preserve">that the </w:t>
      </w:r>
      <w:r w:rsidR="00EE6D8A">
        <w:rPr>
          <w:rFonts w:ascii="TimesNewRoman" w:eastAsia="Calibri" w:hAnsi="TimesNewRoman" w:cs="TimesNewRoman"/>
          <w:lang w:eastAsia="en-US"/>
        </w:rPr>
        <w:t xml:space="preserve">negative </w:t>
      </w:r>
      <w:r>
        <w:rPr>
          <w:rFonts w:ascii="TimesNewRoman" w:eastAsia="Calibri" w:hAnsi="TimesNewRoman" w:cs="TimesNewRoman"/>
          <w:lang w:eastAsia="en-US"/>
        </w:rPr>
        <w:t xml:space="preserve">relationship between perceived workplace gender discrimination and job attitudes in the U.S. was stronger </w:t>
      </w:r>
      <w:r w:rsidR="00EE6D8A" w:rsidRPr="00C00B5E">
        <w:t>(</w:t>
      </w:r>
      <m:oMath>
        <m:acc>
          <m:accPr>
            <m:ctrlPr>
              <w:rPr>
                <w:rFonts w:ascii="Cambria Math" w:hAnsi="Cambria Math"/>
                <w:i/>
              </w:rPr>
            </m:ctrlPr>
          </m:accPr>
          <m:e>
            <m:r>
              <w:rPr>
                <w:rFonts w:ascii="Cambria Math" w:hAnsi="Cambria Math"/>
              </w:rPr>
              <m:t>ρ</m:t>
            </m:r>
          </m:e>
        </m:acc>
      </m:oMath>
      <w:r w:rsidR="00EE6D8A">
        <w:t xml:space="preserve"> = -.37) </w:t>
      </w:r>
      <w:r>
        <w:rPr>
          <w:rFonts w:ascii="TimesNewRoman" w:eastAsia="Calibri" w:hAnsi="TimesNewRoman" w:cs="TimesNewRoman"/>
          <w:lang w:eastAsia="en-US"/>
        </w:rPr>
        <w:t>after the passage of the Civil Rights Act of 1991 than before</w:t>
      </w:r>
      <w:r w:rsidR="00EE6D8A">
        <w:rPr>
          <w:rFonts w:ascii="TimesNewRoman" w:eastAsia="Calibri" w:hAnsi="TimesNewRoman" w:cs="TimesNewRoman"/>
          <w:lang w:eastAsia="en-US"/>
        </w:rPr>
        <w:t xml:space="preserve"> </w:t>
      </w:r>
      <w:r w:rsidR="00EE6D8A">
        <w:t>(</w:t>
      </w:r>
      <m:oMath>
        <m:acc>
          <m:accPr>
            <m:ctrlPr>
              <w:rPr>
                <w:rFonts w:ascii="Cambria Math" w:hAnsi="Cambria Math"/>
                <w:i/>
              </w:rPr>
            </m:ctrlPr>
          </m:accPr>
          <m:e>
            <m:r>
              <w:rPr>
                <w:rFonts w:ascii="Cambria Math" w:hAnsi="Cambria Math"/>
              </w:rPr>
              <m:t>ρ</m:t>
            </m:r>
          </m:e>
        </m:acc>
      </m:oMath>
      <w:r w:rsidR="00EE6D8A">
        <w:t xml:space="preserve"> = -.24)</w:t>
      </w:r>
      <w:r>
        <w:rPr>
          <w:rFonts w:ascii="TimesNewRoman" w:eastAsia="Calibri" w:hAnsi="TimesNewRoman" w:cs="TimesNewRoman"/>
          <w:lang w:eastAsia="en-US"/>
        </w:rPr>
        <w:t xml:space="preserve">. </w:t>
      </w:r>
    </w:p>
    <w:p w14:paraId="6FEBF8E3" w14:textId="77777777" w:rsidR="00FB6CE3" w:rsidRPr="0038554A" w:rsidRDefault="00F83CEB" w:rsidP="001515D2">
      <w:pPr>
        <w:widowControl w:val="0"/>
        <w:suppressAutoHyphens w:val="0"/>
        <w:autoSpaceDE w:val="0"/>
        <w:autoSpaceDN w:val="0"/>
        <w:adjustRightInd w:val="0"/>
        <w:spacing w:line="480" w:lineRule="auto"/>
        <w:rPr>
          <w:rFonts w:ascii="TimesNewRoman" w:eastAsia="Calibri" w:hAnsi="TimesNewRoman" w:cs="TimesNewRoman"/>
          <w:b/>
          <w:lang w:eastAsia="en-US"/>
        </w:rPr>
      </w:pPr>
      <w:r>
        <w:rPr>
          <w:rFonts w:ascii="TimesNewRoman" w:eastAsia="Calibri" w:hAnsi="TimesNewRoman" w:cs="TimesNewRoman"/>
          <w:b/>
          <w:lang w:eastAsia="en-US"/>
        </w:rPr>
        <w:t xml:space="preserve">The </w:t>
      </w:r>
      <w:r w:rsidR="00FB6CE3">
        <w:rPr>
          <w:rFonts w:ascii="TimesNewRoman" w:eastAsia="Calibri" w:hAnsi="TimesNewRoman" w:cs="TimesNewRoman"/>
          <w:b/>
          <w:lang w:eastAsia="en-US"/>
        </w:rPr>
        <w:t xml:space="preserve">Influence of </w:t>
      </w:r>
      <w:r>
        <w:rPr>
          <w:rFonts w:ascii="TimesNewRoman" w:eastAsia="Calibri" w:hAnsi="TimesNewRoman" w:cs="TimesNewRoman"/>
          <w:b/>
          <w:lang w:eastAsia="en-US"/>
        </w:rPr>
        <w:t xml:space="preserve">Sample </w:t>
      </w:r>
      <w:r w:rsidR="00FB6CE3">
        <w:rPr>
          <w:rFonts w:ascii="TimesNewRoman" w:eastAsia="Calibri" w:hAnsi="TimesNewRoman" w:cs="TimesNewRoman"/>
          <w:b/>
          <w:lang w:eastAsia="en-US"/>
        </w:rPr>
        <w:t xml:space="preserve">Gender Composition </w:t>
      </w:r>
      <w:r>
        <w:rPr>
          <w:rFonts w:ascii="TimesNewRoman" w:eastAsia="Calibri" w:hAnsi="TimesNewRoman" w:cs="TimesNewRoman"/>
          <w:b/>
          <w:lang w:eastAsia="en-US"/>
        </w:rPr>
        <w:t>o</w:t>
      </w:r>
      <w:r w:rsidR="00FB6CE3">
        <w:rPr>
          <w:rFonts w:ascii="TimesNewRoman" w:eastAsia="Calibri" w:hAnsi="TimesNewRoman" w:cs="TimesNewRoman"/>
          <w:b/>
          <w:lang w:eastAsia="en-US"/>
        </w:rPr>
        <w:t>n Effect Sizes</w:t>
      </w:r>
      <w:r w:rsidR="00FB6CE3" w:rsidRPr="0038554A">
        <w:rPr>
          <w:rFonts w:ascii="TimesNewRoman" w:eastAsia="Calibri" w:hAnsi="TimesNewRoman" w:cs="TimesNewRoman"/>
          <w:b/>
          <w:lang w:eastAsia="en-US"/>
        </w:rPr>
        <w:t xml:space="preserve"> </w:t>
      </w:r>
    </w:p>
    <w:p w14:paraId="4AB807D6" w14:textId="7E4A4F4E" w:rsidR="00FB6CE3" w:rsidRPr="00FB0D27" w:rsidRDefault="00FB6CE3" w:rsidP="001515D2">
      <w:pPr>
        <w:widowControl w:val="0"/>
        <w:suppressAutoHyphens w:val="0"/>
        <w:autoSpaceDE w:val="0"/>
        <w:autoSpaceDN w:val="0"/>
        <w:adjustRightInd w:val="0"/>
        <w:spacing w:line="480" w:lineRule="auto"/>
        <w:ind w:firstLine="720"/>
        <w:rPr>
          <w:rFonts w:ascii="TimesNewRoman" w:eastAsia="Calibri" w:hAnsi="TimesNewRoman" w:cs="TimesNewRoman"/>
          <w:lang w:eastAsia="en-US"/>
        </w:rPr>
      </w:pPr>
      <w:r>
        <w:rPr>
          <w:rFonts w:ascii="TimesNewRoman" w:eastAsia="Calibri" w:hAnsi="TimesNewRoman" w:cs="TimesNewRoman"/>
          <w:lang w:eastAsia="en-US"/>
        </w:rPr>
        <w:t xml:space="preserve">We noted in our theoretical arguments that although most people who perceive gender discrimination are women, men </w:t>
      </w:r>
      <w:r w:rsidR="004600C8">
        <w:rPr>
          <w:rFonts w:ascii="TimesNewRoman" w:eastAsia="Calibri" w:hAnsi="TimesNewRoman" w:cs="TimesNewRoman"/>
          <w:lang w:eastAsia="en-US"/>
        </w:rPr>
        <w:t>also perceive discrimination</w:t>
      </w:r>
      <w:r>
        <w:rPr>
          <w:rFonts w:ascii="TimesNewRoman" w:eastAsia="Calibri" w:hAnsi="TimesNewRoman" w:cs="TimesNewRoman"/>
          <w:lang w:eastAsia="en-US"/>
        </w:rPr>
        <w:t xml:space="preserve"> (EEOC, 2016) and have similar reactions to it. Therefore, we examined whether </w:t>
      </w:r>
      <w:r w:rsidR="008906FB">
        <w:rPr>
          <w:rFonts w:ascii="TimesNewRoman" w:eastAsia="Calibri" w:hAnsi="TimesNewRoman" w:cs="TimesNewRoman"/>
          <w:lang w:eastAsia="en-US"/>
        </w:rPr>
        <w:t xml:space="preserve">the </w:t>
      </w:r>
      <w:r>
        <w:rPr>
          <w:rFonts w:ascii="TimesNewRoman" w:eastAsia="Calibri" w:hAnsi="TimesNewRoman" w:cs="TimesNewRoman"/>
          <w:lang w:eastAsia="en-US"/>
        </w:rPr>
        <w:t xml:space="preserve">men and women </w:t>
      </w:r>
      <w:r w:rsidR="008906FB">
        <w:rPr>
          <w:rFonts w:ascii="TimesNewRoman" w:eastAsia="Calibri" w:hAnsi="TimesNewRoman" w:cs="TimesNewRoman"/>
          <w:lang w:eastAsia="en-US"/>
        </w:rPr>
        <w:t>who</w:t>
      </w:r>
      <w:r>
        <w:rPr>
          <w:rFonts w:ascii="TimesNewRoman" w:eastAsia="Calibri" w:hAnsi="TimesNewRoman" w:cs="TimesNewRoman"/>
          <w:lang w:eastAsia="en-US"/>
        </w:rPr>
        <w:t xml:space="preserve"> experience gender discrimination react differently or similarly to </w:t>
      </w:r>
      <w:r w:rsidR="00E55B49">
        <w:rPr>
          <w:rFonts w:ascii="TimesNewRoman" w:eastAsia="Calibri" w:hAnsi="TimesNewRoman" w:cs="TimesNewRoman"/>
          <w:lang w:eastAsia="en-US"/>
        </w:rPr>
        <w:t>it</w:t>
      </w:r>
      <w:r>
        <w:rPr>
          <w:rFonts w:ascii="TimesNewRoman" w:eastAsia="Calibri" w:hAnsi="TimesNewRoman" w:cs="TimesNewRoman"/>
          <w:lang w:eastAsia="en-US"/>
        </w:rPr>
        <w:t>. We</w:t>
      </w:r>
      <w:r w:rsidRPr="007A11CB">
        <w:t xml:space="preserve"> </w:t>
      </w:r>
      <w:r>
        <w:t>conducted</w:t>
      </w:r>
      <w:r w:rsidRPr="007A11CB">
        <w:t xml:space="preserve"> a weighted least squares regression analysis using the percentage of women in the sample </w:t>
      </w:r>
      <w:r>
        <w:t>as a continuous moderator variable of all the relationships between</w:t>
      </w:r>
      <w:r w:rsidRPr="007A11CB">
        <w:t xml:space="preserve"> </w:t>
      </w:r>
      <w:r>
        <w:t xml:space="preserve">perceived discrimination and the outcomes presented in this meta-analysis (Steel </w:t>
      </w:r>
      <w:r w:rsidR="00743676">
        <w:t xml:space="preserve">&amp; </w:t>
      </w:r>
      <w:proofErr w:type="spellStart"/>
      <w:r w:rsidRPr="007A11CB">
        <w:t>Kammeyer</w:t>
      </w:r>
      <w:proofErr w:type="spellEnd"/>
      <w:r w:rsidRPr="007A11CB">
        <w:t>-Muller</w:t>
      </w:r>
      <w:r>
        <w:t>,</w:t>
      </w:r>
      <w:r w:rsidRPr="007A11CB">
        <w:t xml:space="preserve"> </w:t>
      </w:r>
      <w:r>
        <w:t>2002</w:t>
      </w:r>
      <w:r w:rsidRPr="007A11CB">
        <w:t xml:space="preserve">). </w:t>
      </w:r>
      <w:r w:rsidR="00EB265C">
        <w:t>There was</w:t>
      </w:r>
      <w:r w:rsidRPr="007A11CB">
        <w:t xml:space="preserve"> </w:t>
      </w:r>
      <w:r w:rsidR="00E55B49">
        <w:t xml:space="preserve">no evidence of moderation, suggesting </w:t>
      </w:r>
      <w:r>
        <w:t xml:space="preserve">that men and women </w:t>
      </w:r>
      <w:r w:rsidR="008906FB">
        <w:t>who</w:t>
      </w:r>
      <w:r>
        <w:t xml:space="preserve"> experience </w:t>
      </w:r>
      <w:r w:rsidRPr="007A11CB">
        <w:t xml:space="preserve">gender discrimination </w:t>
      </w:r>
      <w:r>
        <w:t xml:space="preserve">respond </w:t>
      </w:r>
      <w:r w:rsidR="008906FB">
        <w:t>similarly</w:t>
      </w:r>
      <w:r>
        <w:t xml:space="preserve">. </w:t>
      </w:r>
    </w:p>
    <w:p w14:paraId="111181D3" w14:textId="77777777" w:rsidR="007C239F" w:rsidRDefault="003950E1" w:rsidP="001515D2">
      <w:pPr>
        <w:widowControl w:val="0"/>
        <w:suppressAutoHyphens w:val="0"/>
        <w:spacing w:line="480" w:lineRule="auto"/>
        <w:jc w:val="center"/>
        <w:rPr>
          <w:b/>
        </w:rPr>
      </w:pPr>
      <w:r>
        <w:rPr>
          <w:rFonts w:ascii="TimesNewRoman" w:eastAsia="Calibri" w:hAnsi="TimesNewRoman" w:cs="TimesNewRoman"/>
          <w:b/>
          <w:lang w:eastAsia="en-US"/>
        </w:rPr>
        <w:t>COMPLEMENTARY</w:t>
      </w:r>
      <w:r w:rsidR="00420D30">
        <w:rPr>
          <w:b/>
        </w:rPr>
        <w:t xml:space="preserve"> STUD</w:t>
      </w:r>
      <w:r w:rsidR="00A54105">
        <w:rPr>
          <w:b/>
        </w:rPr>
        <w:t>IES</w:t>
      </w:r>
      <w:r>
        <w:rPr>
          <w:b/>
        </w:rPr>
        <w:t>: THE ROLE OF RELATIVE DEPRI</w:t>
      </w:r>
      <w:r w:rsidR="007C239F">
        <w:rPr>
          <w:b/>
        </w:rPr>
        <w:t>VATION</w:t>
      </w:r>
    </w:p>
    <w:p w14:paraId="67AE3066" w14:textId="29C65051" w:rsidR="0099636D" w:rsidRDefault="007C239F" w:rsidP="001515D2">
      <w:pPr>
        <w:widowControl w:val="0"/>
        <w:suppressAutoHyphens w:val="0"/>
        <w:spacing w:line="480" w:lineRule="auto"/>
      </w:pPr>
      <w:r>
        <w:tab/>
        <w:t xml:space="preserve">In our </w:t>
      </w:r>
      <w:r w:rsidR="00353B89">
        <w:t>hypotheses</w:t>
      </w:r>
      <w:r>
        <w:t>, we proposed that relative deprivation theory explains the relationship between perceived workplace gender discrimination and employee outcomes</w:t>
      </w:r>
      <w:r w:rsidR="0099636D">
        <w:t>.</w:t>
      </w:r>
      <w:r w:rsidR="00A54105">
        <w:t xml:space="preserve"> </w:t>
      </w:r>
      <w:r w:rsidR="0099636D">
        <w:t>H</w:t>
      </w:r>
      <w:r w:rsidR="00A54105">
        <w:t xml:space="preserve">owever, </w:t>
      </w:r>
      <w:r w:rsidR="00EB265C">
        <w:t>the</w:t>
      </w:r>
      <w:r w:rsidR="00A54105">
        <w:t xml:space="preserve"> meta-analysis did not contain a measure of this construct</w:t>
      </w:r>
      <w:r>
        <w:t xml:space="preserve">. </w:t>
      </w:r>
      <w:r w:rsidR="00A54105">
        <w:t>W</w:t>
      </w:r>
      <w:r>
        <w:t>e</w:t>
      </w:r>
      <w:r w:rsidR="00A54105">
        <w:t xml:space="preserve"> directly examined this explanatory mechanism in two</w:t>
      </w:r>
      <w:r>
        <w:t xml:space="preserve"> </w:t>
      </w:r>
      <w:r w:rsidR="003950E1">
        <w:t xml:space="preserve">complementary </w:t>
      </w:r>
      <w:r w:rsidR="00544212">
        <w:t xml:space="preserve">empirical </w:t>
      </w:r>
      <w:r>
        <w:t>stud</w:t>
      </w:r>
      <w:r w:rsidR="00A54105">
        <w:t>ies</w:t>
      </w:r>
      <w:r>
        <w:t xml:space="preserve">. </w:t>
      </w:r>
      <w:r w:rsidR="00D03C28">
        <w:t xml:space="preserve">Below, we present a summary of </w:t>
      </w:r>
      <w:r w:rsidR="00484DA2">
        <w:t>the</w:t>
      </w:r>
      <w:r w:rsidR="00544212">
        <w:t>se</w:t>
      </w:r>
      <w:r w:rsidR="00484DA2">
        <w:t xml:space="preserve"> studies</w:t>
      </w:r>
      <w:r w:rsidR="00D03C28">
        <w:t xml:space="preserve"> and findings. </w:t>
      </w:r>
      <w:r w:rsidR="0027720C">
        <w:t>More details about each study</w:t>
      </w:r>
      <w:r w:rsidR="00D03C28">
        <w:t xml:space="preserve"> are in Appendix </w:t>
      </w:r>
      <w:r w:rsidR="00BC1CC1">
        <w:t>E</w:t>
      </w:r>
      <w:r w:rsidR="00D03C28">
        <w:t xml:space="preserve"> (</w:t>
      </w:r>
      <w:r w:rsidR="003950E1">
        <w:t>complementary</w:t>
      </w:r>
      <w:r w:rsidR="00D03C28">
        <w:t xml:space="preserve"> study 1) and </w:t>
      </w:r>
      <w:r w:rsidR="00BC1CC1">
        <w:t>F</w:t>
      </w:r>
      <w:r w:rsidR="00D03C28">
        <w:t xml:space="preserve"> (</w:t>
      </w:r>
      <w:r w:rsidR="003950E1">
        <w:t>complementary</w:t>
      </w:r>
      <w:r w:rsidR="00D03C28">
        <w:t xml:space="preserve"> study 2) of the online supplement document.</w:t>
      </w:r>
    </w:p>
    <w:p w14:paraId="2083B477" w14:textId="2E038D9D" w:rsidR="007C239F" w:rsidRPr="003C7B79" w:rsidRDefault="003950E1" w:rsidP="00C00B5E">
      <w:pPr>
        <w:widowControl w:val="0"/>
        <w:suppressAutoHyphens w:val="0"/>
        <w:spacing w:line="480" w:lineRule="auto"/>
        <w:ind w:firstLine="720"/>
      </w:pPr>
      <w:r>
        <w:rPr>
          <w:b/>
        </w:rPr>
        <w:t>Complementary</w:t>
      </w:r>
      <w:r w:rsidR="0099636D" w:rsidRPr="00C00B5E">
        <w:rPr>
          <w:b/>
        </w:rPr>
        <w:t xml:space="preserve"> study 1. </w:t>
      </w:r>
      <w:r w:rsidR="00063597">
        <w:t>Using a Qualtrics sample of 639 employees from Australia, Canada, the United Kingdom, the U</w:t>
      </w:r>
      <w:r w:rsidR="00F366A4">
        <w:t>.S.</w:t>
      </w:r>
      <w:r w:rsidR="00063597">
        <w:t xml:space="preserve">, and Spain, we examined the mediating role of perceived relative deprivation in </w:t>
      </w:r>
      <w:r w:rsidR="00D03C28">
        <w:t xml:space="preserve">the relationships between perceived gender discrimination at work and </w:t>
      </w:r>
      <w:r w:rsidR="00895D66">
        <w:t xml:space="preserve">the </w:t>
      </w:r>
      <w:r w:rsidR="00D03C28">
        <w:lastRenderedPageBreak/>
        <w:t xml:space="preserve">employee outcomes </w:t>
      </w:r>
      <w:r w:rsidR="00895D66">
        <w:t xml:space="preserve">presented in </w:t>
      </w:r>
      <w:r w:rsidR="00EB265C">
        <w:t>the</w:t>
      </w:r>
      <w:r w:rsidR="00674D8D">
        <w:t xml:space="preserve"> </w:t>
      </w:r>
      <w:r w:rsidR="00895D66">
        <w:t>meta-analy</w:t>
      </w:r>
      <w:r w:rsidR="00674D8D">
        <w:t>sis</w:t>
      </w:r>
      <w:r w:rsidR="00D03C28">
        <w:t xml:space="preserve">. </w:t>
      </w:r>
      <w:r w:rsidR="00895348">
        <w:t xml:space="preserve">Including respondents from multiple countries </w:t>
      </w:r>
      <w:r w:rsidR="00EB265C">
        <w:t>permits a test of the</w:t>
      </w:r>
      <w:r w:rsidR="007C239F">
        <w:t xml:space="preserve"> hypotheses on the moderating effects of features of the country context.</w:t>
      </w:r>
      <w:r w:rsidR="00895348">
        <w:t xml:space="preserve"> In this study, p</w:t>
      </w:r>
      <w:r w:rsidR="00D03C28">
        <w:t>articipants responded to an online survey containing measures of</w:t>
      </w:r>
      <w:r w:rsidR="00895348">
        <w:t xml:space="preserve"> perceived workplace gender discrimination and perceived relative deprivation. They also responded to measure</w:t>
      </w:r>
      <w:r w:rsidR="00674D8D">
        <w:t>s</w:t>
      </w:r>
      <w:r w:rsidR="00895348">
        <w:t xml:space="preserve"> representing each of the five outcome categories in </w:t>
      </w:r>
      <w:r w:rsidR="00EB265C">
        <w:t>the</w:t>
      </w:r>
      <w:r w:rsidR="00895348">
        <w:t xml:space="preserve"> meta-analysis: procedural justice (job attitudes), anxiety (psychological health), physical symptoms (physical health), job performance (job-based work outcomes), and leader-member exchange (relationship-based work outcomes). </w:t>
      </w:r>
      <w:r w:rsidR="00CC6CB9">
        <w:t xml:space="preserve">For the countries in this study, we coded labor policy integration and practice enforcement and gender egalitarianism </w:t>
      </w:r>
      <w:r w:rsidR="00895D66">
        <w:t>as was done</w:t>
      </w:r>
      <w:r w:rsidR="00CC6CB9">
        <w:t xml:space="preserve"> in the meta-analysis.</w:t>
      </w:r>
      <w:r w:rsidR="00B37E30">
        <w:t xml:space="preserve"> See Appendix E </w:t>
      </w:r>
      <w:r w:rsidR="00F366A4">
        <w:t xml:space="preserve">in the </w:t>
      </w:r>
      <w:r w:rsidR="00B37E30">
        <w:t xml:space="preserve">online supplement for </w:t>
      </w:r>
      <w:r w:rsidR="00783C81">
        <w:t>measures, confirmatory factor analyses, and other analyses</w:t>
      </w:r>
      <w:r w:rsidR="00B37E30">
        <w:t>.</w:t>
      </w:r>
    </w:p>
    <w:p w14:paraId="77AEF2EC" w14:textId="07EC0838" w:rsidR="007C239F" w:rsidRDefault="007C239F" w:rsidP="001515D2">
      <w:pPr>
        <w:widowControl w:val="0"/>
        <w:suppressAutoHyphens w:val="0"/>
        <w:spacing w:line="480" w:lineRule="auto"/>
        <w:ind w:firstLine="720"/>
      </w:pPr>
      <w:r w:rsidRPr="00A1270F">
        <w:t>Because employees</w:t>
      </w:r>
      <w:r w:rsidR="00CC6CB9">
        <w:t xml:space="preserve"> were</w:t>
      </w:r>
      <w:r w:rsidRPr="00A1270F">
        <w:t xml:space="preserve"> </w:t>
      </w:r>
      <w:r>
        <w:t xml:space="preserve">nested within countries, analyses </w:t>
      </w:r>
      <w:r w:rsidR="00EB265C">
        <w:t xml:space="preserve">were conducted </w:t>
      </w:r>
      <w:r>
        <w:t>using</w:t>
      </w:r>
      <w:r w:rsidRPr="00A1270F">
        <w:t xml:space="preserve"> hierarchical linear modeling</w:t>
      </w:r>
      <w:r w:rsidRPr="00A1270F" w:rsidDel="007E18A3">
        <w:t xml:space="preserve"> </w:t>
      </w:r>
      <w:r w:rsidRPr="00A1270F">
        <w:t>(HLM; Bryk</w:t>
      </w:r>
      <w:r>
        <w:t xml:space="preserve"> &amp; </w:t>
      </w:r>
      <w:proofErr w:type="spellStart"/>
      <w:r w:rsidRPr="00A1270F">
        <w:t>Raudenbush</w:t>
      </w:r>
      <w:proofErr w:type="spellEnd"/>
      <w:r w:rsidRPr="00A1270F">
        <w:t>, 1992).</w:t>
      </w:r>
      <w:r w:rsidR="00CC6CB9">
        <w:t xml:space="preserve"> Results </w:t>
      </w:r>
      <w:r w:rsidR="004C2380">
        <w:t xml:space="preserve">(see Appendix E, Tables E4-E8 of the online supplement) </w:t>
      </w:r>
      <w:r w:rsidR="00CC6CB9">
        <w:t xml:space="preserve">provide partial support for Hypotheses 2 and 3. </w:t>
      </w:r>
      <w:r w:rsidR="00B62E91">
        <w:t>As predicted, we found evidence of</w:t>
      </w:r>
      <w:r w:rsidR="00CC6CB9">
        <w:t xml:space="preserve"> moderat</w:t>
      </w:r>
      <w:r w:rsidR="00B62E91">
        <w:t>ion by</w:t>
      </w:r>
      <w:r w:rsidR="00CC6CB9">
        <w:t xml:space="preserve"> gender egalitarianism (GE) cultural practice for </w:t>
      </w:r>
      <w:r w:rsidR="00B62E91">
        <w:t>two</w:t>
      </w:r>
      <w:r w:rsidR="00CC6CB9">
        <w:t xml:space="preserve"> employee outcomes</w:t>
      </w:r>
      <w:r w:rsidR="00B62E91">
        <w:t>—procedural justice and job performance. While the moderation effect was also found for physical symptoms, it was opposite of our prediction</w:t>
      </w:r>
      <w:r w:rsidR="00CC6CB9">
        <w:t xml:space="preserve">. </w:t>
      </w:r>
      <w:r w:rsidRPr="00345210">
        <w:t>Figure 1</w:t>
      </w:r>
      <w:r w:rsidR="00CC6CB9">
        <w:t xml:space="preserve"> (plotted as suggested by Aiken &amp; West, 1991)</w:t>
      </w:r>
      <w:r w:rsidR="00F523CC">
        <w:t xml:space="preserve"> which</w:t>
      </w:r>
      <w:r w:rsidR="00B62E91">
        <w:t xml:space="preserve"> displays</w:t>
      </w:r>
      <w:r w:rsidRPr="00345210">
        <w:t xml:space="preserve"> the </w:t>
      </w:r>
      <w:r>
        <w:t xml:space="preserve">slopes for perceived workplace gender discrimination and outcomes for high and low levels of </w:t>
      </w:r>
      <w:r w:rsidR="00B62E91">
        <w:t xml:space="preserve">gender egalitarianism </w:t>
      </w:r>
      <w:r w:rsidR="00F523CC">
        <w:t>is</w:t>
      </w:r>
      <w:r>
        <w:t xml:space="preserve"> consistent with our theory for procedural justice </w:t>
      </w:r>
      <w:r w:rsidRPr="00B62E91">
        <w:t>(</w:t>
      </w:r>
      <w:proofErr w:type="spellStart"/>
      <w:r w:rsidRPr="00B62E91">
        <w:rPr>
          <w:i/>
        </w:rPr>
        <w:t>b</w:t>
      </w:r>
      <w:r w:rsidR="00353B89" w:rsidRPr="00B62E91">
        <w:rPr>
          <w:vertAlign w:val="subscript"/>
        </w:rPr>
        <w:t>High</w:t>
      </w:r>
      <w:proofErr w:type="spellEnd"/>
      <w:r w:rsidR="00353B89" w:rsidRPr="00B62E91">
        <w:rPr>
          <w:vertAlign w:val="subscript"/>
        </w:rPr>
        <w:t xml:space="preserve"> </w:t>
      </w:r>
      <w:r w:rsidR="00353B89" w:rsidRPr="00C00B5E">
        <w:rPr>
          <w:vertAlign w:val="subscript"/>
        </w:rPr>
        <w:t>GE</w:t>
      </w:r>
      <w:r w:rsidRPr="00C00B5E">
        <w:t xml:space="preserve"> = -.12, </w:t>
      </w:r>
      <w:r w:rsidR="00310BF0" w:rsidRPr="00C00B5E">
        <w:rPr>
          <w:i/>
        </w:rPr>
        <w:t>t</w:t>
      </w:r>
      <w:r w:rsidR="00310BF0" w:rsidRPr="00C00B5E">
        <w:t xml:space="preserve"> = -3.18, </w:t>
      </w:r>
      <w:r w:rsidRPr="00C00B5E">
        <w:rPr>
          <w:i/>
        </w:rPr>
        <w:t>p</w:t>
      </w:r>
      <w:r w:rsidRPr="00C00B5E">
        <w:t xml:space="preserve"> </w:t>
      </w:r>
      <w:r w:rsidR="00E848CA">
        <w:t>=</w:t>
      </w:r>
      <w:r w:rsidRPr="00C00B5E">
        <w:t xml:space="preserve"> .0</w:t>
      </w:r>
      <w:r w:rsidR="00E848CA">
        <w:t>02</w:t>
      </w:r>
      <w:r w:rsidRPr="00C00B5E">
        <w:t xml:space="preserve">; </w:t>
      </w:r>
      <w:proofErr w:type="spellStart"/>
      <w:r w:rsidRPr="00C00B5E">
        <w:rPr>
          <w:i/>
        </w:rPr>
        <w:t>b</w:t>
      </w:r>
      <w:r w:rsidR="00353B89" w:rsidRPr="00C00B5E">
        <w:rPr>
          <w:vertAlign w:val="subscript"/>
        </w:rPr>
        <w:t>Low</w:t>
      </w:r>
      <w:proofErr w:type="spellEnd"/>
      <w:r w:rsidR="00353B89" w:rsidRPr="00C00B5E">
        <w:rPr>
          <w:vertAlign w:val="subscript"/>
        </w:rPr>
        <w:t xml:space="preserve"> GE</w:t>
      </w:r>
      <w:r w:rsidRPr="00C00B5E">
        <w:t xml:space="preserve"> = </w:t>
      </w:r>
      <w:r w:rsidR="00310BF0" w:rsidRPr="00C00B5E">
        <w:t>-</w:t>
      </w:r>
      <w:r w:rsidRPr="00C00B5E">
        <w:t xml:space="preserve">.00, </w:t>
      </w:r>
      <w:r w:rsidR="00310BF0" w:rsidRPr="00C00B5E">
        <w:rPr>
          <w:i/>
        </w:rPr>
        <w:t>t</w:t>
      </w:r>
      <w:r w:rsidR="00310BF0" w:rsidRPr="00C00B5E">
        <w:t xml:space="preserve"> = -.11, </w:t>
      </w:r>
      <w:r w:rsidRPr="00C00B5E">
        <w:rPr>
          <w:i/>
        </w:rPr>
        <w:t>p</w:t>
      </w:r>
      <w:r w:rsidRPr="00C00B5E">
        <w:t xml:space="preserve"> </w:t>
      </w:r>
      <w:r w:rsidR="00E848CA">
        <w:t>=</w:t>
      </w:r>
      <w:r w:rsidRPr="00C00B5E">
        <w:t xml:space="preserve"> .</w:t>
      </w:r>
      <w:r w:rsidR="00E848CA">
        <w:t>913</w:t>
      </w:r>
      <w:r w:rsidRPr="00C00B5E">
        <w:t>) and job performance (</w:t>
      </w:r>
      <w:proofErr w:type="spellStart"/>
      <w:r w:rsidR="00353B89" w:rsidRPr="00C00B5E">
        <w:rPr>
          <w:i/>
        </w:rPr>
        <w:t>b</w:t>
      </w:r>
      <w:r w:rsidR="00353B89" w:rsidRPr="00C00B5E">
        <w:rPr>
          <w:vertAlign w:val="subscript"/>
        </w:rPr>
        <w:t>High</w:t>
      </w:r>
      <w:proofErr w:type="spellEnd"/>
      <w:r w:rsidR="00353B89" w:rsidRPr="00C00B5E">
        <w:rPr>
          <w:vertAlign w:val="subscript"/>
        </w:rPr>
        <w:t xml:space="preserve"> GE</w:t>
      </w:r>
      <w:r w:rsidR="00353B89" w:rsidRPr="00C00B5E">
        <w:t xml:space="preserve"> </w:t>
      </w:r>
      <w:r w:rsidRPr="00C00B5E">
        <w:t xml:space="preserve">= -.19, </w:t>
      </w:r>
      <w:r w:rsidR="00913E5A" w:rsidRPr="00C00B5E">
        <w:rPr>
          <w:i/>
        </w:rPr>
        <w:t>t</w:t>
      </w:r>
      <w:r w:rsidR="00913E5A" w:rsidRPr="00C00B5E">
        <w:t xml:space="preserve"> = -7.14, </w:t>
      </w:r>
      <w:r w:rsidRPr="00C00B5E">
        <w:rPr>
          <w:i/>
        </w:rPr>
        <w:t>p</w:t>
      </w:r>
      <w:r w:rsidRPr="00C00B5E">
        <w:t xml:space="preserve"> </w:t>
      </w:r>
      <w:r w:rsidR="0026043A">
        <w:t>=</w:t>
      </w:r>
      <w:r w:rsidRPr="00C00B5E">
        <w:t xml:space="preserve"> .0</w:t>
      </w:r>
      <w:r w:rsidR="0026043A">
        <w:t>00</w:t>
      </w:r>
      <w:r w:rsidRPr="00C00B5E">
        <w:t xml:space="preserve">; </w:t>
      </w:r>
      <w:proofErr w:type="spellStart"/>
      <w:r w:rsidR="003266DF" w:rsidRPr="00C00B5E">
        <w:rPr>
          <w:i/>
        </w:rPr>
        <w:t>b</w:t>
      </w:r>
      <w:r w:rsidR="003266DF" w:rsidRPr="00C00B5E">
        <w:rPr>
          <w:vertAlign w:val="subscript"/>
        </w:rPr>
        <w:t>Low</w:t>
      </w:r>
      <w:proofErr w:type="spellEnd"/>
      <w:r w:rsidR="003266DF" w:rsidRPr="00C00B5E">
        <w:rPr>
          <w:vertAlign w:val="subscript"/>
        </w:rPr>
        <w:t xml:space="preserve"> GE</w:t>
      </w:r>
      <w:r w:rsidR="003266DF" w:rsidRPr="00C00B5E">
        <w:t xml:space="preserve"> </w:t>
      </w:r>
      <w:r w:rsidRPr="00C00B5E">
        <w:t xml:space="preserve">= -.15, </w:t>
      </w:r>
      <w:r w:rsidR="00913E5A" w:rsidRPr="00C00B5E">
        <w:rPr>
          <w:i/>
        </w:rPr>
        <w:t>t</w:t>
      </w:r>
      <w:r w:rsidR="00913E5A" w:rsidRPr="00C00B5E">
        <w:t xml:space="preserve"> = -9.24, </w:t>
      </w:r>
      <w:r w:rsidRPr="00C00B5E">
        <w:rPr>
          <w:i/>
        </w:rPr>
        <w:t>p</w:t>
      </w:r>
      <w:r w:rsidRPr="00C00B5E">
        <w:t xml:space="preserve"> </w:t>
      </w:r>
      <w:r w:rsidR="0026043A">
        <w:t>=</w:t>
      </w:r>
      <w:r w:rsidRPr="00C00B5E">
        <w:t xml:space="preserve"> .0</w:t>
      </w:r>
      <w:r w:rsidR="0026043A">
        <w:t>00</w:t>
      </w:r>
      <w:r w:rsidRPr="00C00B5E">
        <w:t>)</w:t>
      </w:r>
      <w:r w:rsidR="00353B89" w:rsidRPr="00C00B5E">
        <w:t xml:space="preserve"> </w:t>
      </w:r>
      <w:r w:rsidRPr="00C00B5E">
        <w:t xml:space="preserve">but </w:t>
      </w:r>
      <w:r w:rsidR="00F523CC">
        <w:t>is</w:t>
      </w:r>
      <w:r w:rsidRPr="00C00B5E">
        <w:t xml:space="preserve"> opposite of our prediction for physical symptoms (</w:t>
      </w:r>
      <w:proofErr w:type="spellStart"/>
      <w:r w:rsidR="00353B89" w:rsidRPr="00C00B5E">
        <w:rPr>
          <w:i/>
        </w:rPr>
        <w:t>b</w:t>
      </w:r>
      <w:r w:rsidR="00353B89" w:rsidRPr="00C00B5E">
        <w:rPr>
          <w:vertAlign w:val="subscript"/>
        </w:rPr>
        <w:t>High</w:t>
      </w:r>
      <w:proofErr w:type="spellEnd"/>
      <w:r w:rsidR="00353B89" w:rsidRPr="00C00B5E">
        <w:rPr>
          <w:vertAlign w:val="subscript"/>
        </w:rPr>
        <w:t xml:space="preserve"> GE</w:t>
      </w:r>
      <w:r w:rsidR="00353B89" w:rsidRPr="00C00B5E">
        <w:t xml:space="preserve"> </w:t>
      </w:r>
      <w:r w:rsidRPr="00C00B5E">
        <w:t xml:space="preserve">= .20, </w:t>
      </w:r>
      <w:r w:rsidR="00913E5A" w:rsidRPr="00C00B5E">
        <w:rPr>
          <w:i/>
        </w:rPr>
        <w:t>t</w:t>
      </w:r>
      <w:r w:rsidR="00913E5A" w:rsidRPr="00C00B5E">
        <w:t xml:space="preserve"> = 9.74, </w:t>
      </w:r>
      <w:r w:rsidRPr="00C00B5E">
        <w:rPr>
          <w:i/>
        </w:rPr>
        <w:t>p</w:t>
      </w:r>
      <w:r w:rsidRPr="00C00B5E">
        <w:t xml:space="preserve"> </w:t>
      </w:r>
      <w:r w:rsidR="00B578D1">
        <w:t>=</w:t>
      </w:r>
      <w:r w:rsidRPr="00C00B5E">
        <w:t xml:space="preserve"> .0</w:t>
      </w:r>
      <w:r w:rsidR="00B578D1">
        <w:t>00</w:t>
      </w:r>
      <w:r w:rsidRPr="00C00B5E">
        <w:t xml:space="preserve">; </w:t>
      </w:r>
      <w:proofErr w:type="spellStart"/>
      <w:r w:rsidR="003266DF" w:rsidRPr="00C00B5E">
        <w:rPr>
          <w:i/>
        </w:rPr>
        <w:t>b</w:t>
      </w:r>
      <w:r w:rsidR="003266DF" w:rsidRPr="00C00B5E">
        <w:rPr>
          <w:vertAlign w:val="subscript"/>
        </w:rPr>
        <w:t>Low</w:t>
      </w:r>
      <w:proofErr w:type="spellEnd"/>
      <w:r w:rsidR="003266DF" w:rsidRPr="00C00B5E">
        <w:rPr>
          <w:vertAlign w:val="subscript"/>
        </w:rPr>
        <w:t xml:space="preserve"> GE</w:t>
      </w:r>
      <w:r w:rsidR="003266DF" w:rsidRPr="00C00B5E">
        <w:t xml:space="preserve"> </w:t>
      </w:r>
      <w:r w:rsidRPr="00C00B5E">
        <w:t xml:space="preserve">= .35, </w:t>
      </w:r>
      <w:r w:rsidR="00913E5A" w:rsidRPr="00C00B5E">
        <w:rPr>
          <w:i/>
        </w:rPr>
        <w:t>t</w:t>
      </w:r>
      <w:r w:rsidR="00913E5A" w:rsidRPr="00C00B5E">
        <w:t xml:space="preserve"> = 10.86, </w:t>
      </w:r>
      <w:r w:rsidRPr="00C00B5E">
        <w:rPr>
          <w:i/>
        </w:rPr>
        <w:t xml:space="preserve">p </w:t>
      </w:r>
      <w:r w:rsidR="004B1960">
        <w:t xml:space="preserve">= </w:t>
      </w:r>
      <w:r w:rsidRPr="00C00B5E">
        <w:t>.0</w:t>
      </w:r>
      <w:r w:rsidR="004B1960">
        <w:t>00</w:t>
      </w:r>
      <w:r w:rsidRPr="00C00B5E">
        <w:t>).</w:t>
      </w:r>
      <w:r w:rsidR="00B62E91" w:rsidRPr="00C00B5E">
        <w:t xml:space="preserve"> We</w:t>
      </w:r>
      <w:r w:rsidR="00B62E91">
        <w:t xml:space="preserve"> also found</w:t>
      </w:r>
      <w:r w:rsidR="009B33F1">
        <w:t xml:space="preserve"> evidence that labor policy integration and practice enforcement moderated the relationships between perceived gender discrimination and </w:t>
      </w:r>
      <w:r w:rsidR="002939DF">
        <w:t xml:space="preserve">several </w:t>
      </w:r>
      <w:r w:rsidR="009B33F1">
        <w:lastRenderedPageBreak/>
        <w:t xml:space="preserve">outcomes. </w:t>
      </w:r>
      <w:r>
        <w:t>Figure 2 shows that the perceived workplace gender discrimination-outcomes relationship for high</w:t>
      </w:r>
      <w:r w:rsidR="0024002F">
        <w:t>/</w:t>
      </w:r>
      <w:r>
        <w:t xml:space="preserve">low levels of </w:t>
      </w:r>
      <w:r w:rsidRPr="00F71507">
        <w:t>labor policy integration and practice enforcement is consistent with our theory for procedural justice (</w:t>
      </w:r>
      <w:proofErr w:type="spellStart"/>
      <w:r w:rsidRPr="00F71507">
        <w:rPr>
          <w:i/>
        </w:rPr>
        <w:t>b</w:t>
      </w:r>
      <w:r w:rsidR="003266DF" w:rsidRPr="00F71507">
        <w:rPr>
          <w:vertAlign w:val="subscript"/>
        </w:rPr>
        <w:t>High</w:t>
      </w:r>
      <w:proofErr w:type="spellEnd"/>
      <w:r w:rsidR="003266DF" w:rsidRPr="00F71507">
        <w:rPr>
          <w:vertAlign w:val="subscript"/>
        </w:rPr>
        <w:t xml:space="preserve"> labor policy/practice</w:t>
      </w:r>
      <w:r w:rsidRPr="00F71507">
        <w:t xml:space="preserve"> = -.29, </w:t>
      </w:r>
      <w:r w:rsidR="00155D83" w:rsidRPr="00F71507">
        <w:rPr>
          <w:i/>
        </w:rPr>
        <w:t>t</w:t>
      </w:r>
      <w:r w:rsidR="00155D83" w:rsidRPr="00F71507">
        <w:t xml:space="preserve"> = </w:t>
      </w:r>
      <w:r w:rsidR="006C03E9" w:rsidRPr="00F71507">
        <w:t>-6.82</w:t>
      </w:r>
      <w:r w:rsidR="00155D83" w:rsidRPr="00F71507">
        <w:t xml:space="preserve">, </w:t>
      </w:r>
      <w:r w:rsidRPr="00F71507">
        <w:rPr>
          <w:i/>
        </w:rPr>
        <w:t>p</w:t>
      </w:r>
      <w:r w:rsidRPr="00F71507">
        <w:t xml:space="preserve"> </w:t>
      </w:r>
      <w:r w:rsidR="00562B18">
        <w:t>=</w:t>
      </w:r>
      <w:r w:rsidRPr="00F71507">
        <w:t xml:space="preserve"> .0</w:t>
      </w:r>
      <w:r w:rsidR="00562B18">
        <w:t>00</w:t>
      </w:r>
      <w:r w:rsidRPr="00F71507">
        <w:t xml:space="preserve">; </w:t>
      </w:r>
      <w:proofErr w:type="spellStart"/>
      <w:r w:rsidR="003266DF" w:rsidRPr="00F71507">
        <w:rPr>
          <w:i/>
        </w:rPr>
        <w:t>b</w:t>
      </w:r>
      <w:r w:rsidR="003266DF" w:rsidRPr="00F71507">
        <w:rPr>
          <w:vertAlign w:val="subscript"/>
        </w:rPr>
        <w:t>Low</w:t>
      </w:r>
      <w:proofErr w:type="spellEnd"/>
      <w:r w:rsidR="003266DF" w:rsidRPr="00F71507">
        <w:rPr>
          <w:vertAlign w:val="subscript"/>
        </w:rPr>
        <w:t xml:space="preserve"> labor policy/practice</w:t>
      </w:r>
      <w:r w:rsidR="003266DF" w:rsidRPr="00F71507">
        <w:t xml:space="preserve"> </w:t>
      </w:r>
      <w:r w:rsidRPr="00F71507">
        <w:t xml:space="preserve">= .14, </w:t>
      </w:r>
      <w:r w:rsidR="00155D83" w:rsidRPr="00F71507">
        <w:rPr>
          <w:i/>
        </w:rPr>
        <w:t>t</w:t>
      </w:r>
      <w:r w:rsidR="00155D83" w:rsidRPr="00F71507">
        <w:t xml:space="preserve"> = </w:t>
      </w:r>
      <w:r w:rsidR="006C03E9" w:rsidRPr="00F71507">
        <w:t>1.76</w:t>
      </w:r>
      <w:r w:rsidR="00155D83" w:rsidRPr="00F71507">
        <w:t xml:space="preserve">, </w:t>
      </w:r>
      <w:r w:rsidRPr="00F71507">
        <w:rPr>
          <w:i/>
        </w:rPr>
        <w:t>p</w:t>
      </w:r>
      <w:r w:rsidRPr="00F71507">
        <w:t xml:space="preserve"> </w:t>
      </w:r>
      <w:r w:rsidR="00562B18">
        <w:t>=</w:t>
      </w:r>
      <w:r w:rsidRPr="00F71507">
        <w:t xml:space="preserve"> .0</w:t>
      </w:r>
      <w:r w:rsidR="00562B18">
        <w:t>79</w:t>
      </w:r>
      <w:r w:rsidRPr="00F71507">
        <w:t>), anxiety (</w:t>
      </w:r>
      <w:proofErr w:type="spellStart"/>
      <w:r w:rsidR="003266DF" w:rsidRPr="00F71507">
        <w:rPr>
          <w:i/>
        </w:rPr>
        <w:t>b</w:t>
      </w:r>
      <w:r w:rsidR="003266DF" w:rsidRPr="00F71507">
        <w:rPr>
          <w:vertAlign w:val="subscript"/>
        </w:rPr>
        <w:t>High</w:t>
      </w:r>
      <w:proofErr w:type="spellEnd"/>
      <w:r w:rsidR="003266DF" w:rsidRPr="00F71507">
        <w:rPr>
          <w:vertAlign w:val="subscript"/>
        </w:rPr>
        <w:t xml:space="preserve"> labor policy/practice</w:t>
      </w:r>
      <w:r w:rsidR="003266DF" w:rsidRPr="00F71507">
        <w:t xml:space="preserve"> </w:t>
      </w:r>
      <w:r w:rsidRPr="00F71507">
        <w:t xml:space="preserve">= .25, </w:t>
      </w:r>
      <w:r w:rsidR="00155D83" w:rsidRPr="00F71507">
        <w:rPr>
          <w:i/>
        </w:rPr>
        <w:t>t</w:t>
      </w:r>
      <w:r w:rsidR="00155D83" w:rsidRPr="00F71507">
        <w:t xml:space="preserve"> = </w:t>
      </w:r>
      <w:r w:rsidR="0010574E" w:rsidRPr="00F71507">
        <w:t>5.92</w:t>
      </w:r>
      <w:r w:rsidR="00155D83" w:rsidRPr="00F71507">
        <w:t xml:space="preserve">, </w:t>
      </w:r>
      <w:r w:rsidRPr="00F71507">
        <w:rPr>
          <w:i/>
        </w:rPr>
        <w:t>p</w:t>
      </w:r>
      <w:r w:rsidRPr="00F71507">
        <w:t xml:space="preserve"> </w:t>
      </w:r>
      <w:r w:rsidR="000B4A4C">
        <w:t>=</w:t>
      </w:r>
      <w:r w:rsidRPr="00F71507">
        <w:t xml:space="preserve"> .0</w:t>
      </w:r>
      <w:r w:rsidR="000B4A4C">
        <w:t>00</w:t>
      </w:r>
      <w:r w:rsidRPr="00F71507">
        <w:t xml:space="preserve">; </w:t>
      </w:r>
      <w:proofErr w:type="spellStart"/>
      <w:r w:rsidR="003266DF" w:rsidRPr="00F71507">
        <w:rPr>
          <w:i/>
        </w:rPr>
        <w:t>b</w:t>
      </w:r>
      <w:r w:rsidR="003266DF" w:rsidRPr="00F71507">
        <w:rPr>
          <w:vertAlign w:val="subscript"/>
        </w:rPr>
        <w:t>Low</w:t>
      </w:r>
      <w:proofErr w:type="spellEnd"/>
      <w:r w:rsidR="003266DF" w:rsidRPr="00F71507">
        <w:rPr>
          <w:vertAlign w:val="subscript"/>
        </w:rPr>
        <w:t xml:space="preserve"> labor policy/practice</w:t>
      </w:r>
      <w:r w:rsidR="003266DF" w:rsidRPr="00F71507">
        <w:t xml:space="preserve"> </w:t>
      </w:r>
      <w:r w:rsidRPr="00F71507">
        <w:t xml:space="preserve">= .08, </w:t>
      </w:r>
      <w:r w:rsidR="00155D83" w:rsidRPr="00F71507">
        <w:rPr>
          <w:i/>
        </w:rPr>
        <w:t>t</w:t>
      </w:r>
      <w:r w:rsidR="00155D83" w:rsidRPr="00F71507">
        <w:t xml:space="preserve"> = </w:t>
      </w:r>
      <w:r w:rsidR="0010574E" w:rsidRPr="00F71507">
        <w:t>1.04</w:t>
      </w:r>
      <w:r w:rsidR="00155D83" w:rsidRPr="00F71507">
        <w:t xml:space="preserve">, </w:t>
      </w:r>
      <w:r w:rsidRPr="00F71507">
        <w:rPr>
          <w:i/>
        </w:rPr>
        <w:t>p</w:t>
      </w:r>
      <w:r w:rsidRPr="00F71507">
        <w:t xml:space="preserve"> </w:t>
      </w:r>
      <w:r w:rsidR="000B4A4C">
        <w:t>=</w:t>
      </w:r>
      <w:r w:rsidRPr="00F71507">
        <w:t xml:space="preserve"> .</w:t>
      </w:r>
      <w:r w:rsidR="000B4A4C">
        <w:t>297</w:t>
      </w:r>
      <w:r w:rsidRPr="00F71507">
        <w:t>), job performance (</w:t>
      </w:r>
      <w:proofErr w:type="spellStart"/>
      <w:r w:rsidR="003266DF" w:rsidRPr="00F71507">
        <w:rPr>
          <w:i/>
        </w:rPr>
        <w:t>b</w:t>
      </w:r>
      <w:r w:rsidR="003266DF" w:rsidRPr="00F71507">
        <w:rPr>
          <w:vertAlign w:val="subscript"/>
        </w:rPr>
        <w:t>High</w:t>
      </w:r>
      <w:proofErr w:type="spellEnd"/>
      <w:r w:rsidR="003266DF" w:rsidRPr="00F71507">
        <w:rPr>
          <w:vertAlign w:val="subscript"/>
        </w:rPr>
        <w:t xml:space="preserve"> labor policy/practice</w:t>
      </w:r>
      <w:r w:rsidR="003266DF" w:rsidRPr="00F71507">
        <w:t xml:space="preserve"> </w:t>
      </w:r>
      <w:r w:rsidRPr="00F71507">
        <w:t xml:space="preserve">= -.25, </w:t>
      </w:r>
      <w:r w:rsidR="00155D83" w:rsidRPr="00F71507">
        <w:rPr>
          <w:i/>
        </w:rPr>
        <w:t>t</w:t>
      </w:r>
      <w:r w:rsidR="00155D83" w:rsidRPr="00F71507">
        <w:t xml:space="preserve"> = </w:t>
      </w:r>
      <w:r w:rsidR="006C03E9" w:rsidRPr="00F71507">
        <w:t>-6.01</w:t>
      </w:r>
      <w:r w:rsidR="00155D83" w:rsidRPr="00F71507">
        <w:t xml:space="preserve">, </w:t>
      </w:r>
      <w:r w:rsidRPr="00F71507">
        <w:rPr>
          <w:i/>
        </w:rPr>
        <w:t>p</w:t>
      </w:r>
      <w:r w:rsidRPr="00F71507">
        <w:t xml:space="preserve"> </w:t>
      </w:r>
      <w:r w:rsidR="00AA370F">
        <w:t>=</w:t>
      </w:r>
      <w:r w:rsidRPr="00F71507">
        <w:t xml:space="preserve"> .0</w:t>
      </w:r>
      <w:r w:rsidR="00AA370F">
        <w:t>00</w:t>
      </w:r>
      <w:r w:rsidRPr="00F71507">
        <w:t xml:space="preserve">; </w:t>
      </w:r>
      <w:proofErr w:type="spellStart"/>
      <w:r w:rsidR="003266DF" w:rsidRPr="00F71507">
        <w:rPr>
          <w:i/>
        </w:rPr>
        <w:t>b</w:t>
      </w:r>
      <w:r w:rsidR="003266DF" w:rsidRPr="00F71507">
        <w:rPr>
          <w:vertAlign w:val="subscript"/>
        </w:rPr>
        <w:t>Low</w:t>
      </w:r>
      <w:proofErr w:type="spellEnd"/>
      <w:r w:rsidR="003266DF" w:rsidRPr="00F71507">
        <w:rPr>
          <w:vertAlign w:val="subscript"/>
        </w:rPr>
        <w:t xml:space="preserve"> labor policy/practice</w:t>
      </w:r>
      <w:r w:rsidR="003266DF" w:rsidRPr="00F71507">
        <w:t xml:space="preserve"> </w:t>
      </w:r>
      <w:r w:rsidRPr="00F71507">
        <w:t xml:space="preserve">= -.09, </w:t>
      </w:r>
      <w:r w:rsidR="00155D83" w:rsidRPr="00F71507">
        <w:rPr>
          <w:i/>
        </w:rPr>
        <w:t>t</w:t>
      </w:r>
      <w:r w:rsidR="00155D83" w:rsidRPr="00F71507">
        <w:t xml:space="preserve"> = </w:t>
      </w:r>
      <w:r w:rsidR="006C03E9" w:rsidRPr="00F71507">
        <w:t>-1.16</w:t>
      </w:r>
      <w:r w:rsidR="00155D83" w:rsidRPr="00F71507">
        <w:t xml:space="preserve">, </w:t>
      </w:r>
      <w:r w:rsidRPr="00F71507">
        <w:rPr>
          <w:i/>
        </w:rPr>
        <w:t>p</w:t>
      </w:r>
      <w:r w:rsidRPr="00F71507">
        <w:t xml:space="preserve"> </w:t>
      </w:r>
      <w:r w:rsidR="00AA370F">
        <w:t>=</w:t>
      </w:r>
      <w:r w:rsidRPr="00F71507">
        <w:t xml:space="preserve"> .</w:t>
      </w:r>
      <w:r w:rsidR="00AA370F">
        <w:t>24</w:t>
      </w:r>
      <w:r w:rsidRPr="00F71507">
        <w:t>5), and LMX (</w:t>
      </w:r>
      <w:proofErr w:type="spellStart"/>
      <w:r w:rsidR="003266DF" w:rsidRPr="00F71507">
        <w:rPr>
          <w:i/>
        </w:rPr>
        <w:t>b</w:t>
      </w:r>
      <w:r w:rsidR="003266DF" w:rsidRPr="00F71507">
        <w:rPr>
          <w:vertAlign w:val="subscript"/>
        </w:rPr>
        <w:t>High</w:t>
      </w:r>
      <w:proofErr w:type="spellEnd"/>
      <w:r w:rsidR="003266DF" w:rsidRPr="00F71507">
        <w:rPr>
          <w:vertAlign w:val="subscript"/>
        </w:rPr>
        <w:t xml:space="preserve"> labor policy/practice</w:t>
      </w:r>
      <w:r w:rsidR="003266DF" w:rsidRPr="00F71507">
        <w:t xml:space="preserve"> </w:t>
      </w:r>
      <w:r w:rsidRPr="00F71507">
        <w:t xml:space="preserve">= -.32, </w:t>
      </w:r>
      <w:r w:rsidR="00155D83" w:rsidRPr="00F71507">
        <w:rPr>
          <w:i/>
        </w:rPr>
        <w:t>t</w:t>
      </w:r>
      <w:r w:rsidR="00155D83" w:rsidRPr="00F71507">
        <w:t xml:space="preserve"> = </w:t>
      </w:r>
      <w:r w:rsidR="006C03E9" w:rsidRPr="00F71507">
        <w:t>-7.56</w:t>
      </w:r>
      <w:r w:rsidR="00155D83" w:rsidRPr="00F71507">
        <w:t xml:space="preserve">, </w:t>
      </w:r>
      <w:r w:rsidRPr="00F71507">
        <w:rPr>
          <w:i/>
        </w:rPr>
        <w:t>p</w:t>
      </w:r>
      <w:r w:rsidRPr="00F71507">
        <w:t xml:space="preserve"> </w:t>
      </w:r>
      <w:r w:rsidR="00DC1FB1">
        <w:t>=</w:t>
      </w:r>
      <w:r w:rsidRPr="00F71507">
        <w:t xml:space="preserve"> .0</w:t>
      </w:r>
      <w:r w:rsidR="00DC1FB1">
        <w:t>00</w:t>
      </w:r>
      <w:r w:rsidRPr="00F71507">
        <w:t xml:space="preserve">; </w:t>
      </w:r>
      <w:proofErr w:type="spellStart"/>
      <w:r w:rsidR="003266DF" w:rsidRPr="00F71507">
        <w:rPr>
          <w:i/>
        </w:rPr>
        <w:t>b</w:t>
      </w:r>
      <w:r w:rsidR="003266DF" w:rsidRPr="00F71507">
        <w:rPr>
          <w:vertAlign w:val="subscript"/>
        </w:rPr>
        <w:t>Low</w:t>
      </w:r>
      <w:proofErr w:type="spellEnd"/>
      <w:r w:rsidR="003266DF" w:rsidRPr="00F71507">
        <w:rPr>
          <w:vertAlign w:val="subscript"/>
        </w:rPr>
        <w:t xml:space="preserve"> labor policy/practice</w:t>
      </w:r>
      <w:r w:rsidR="003266DF" w:rsidRPr="00F71507">
        <w:t xml:space="preserve"> </w:t>
      </w:r>
      <w:r w:rsidRPr="00F71507">
        <w:t xml:space="preserve">= .09, </w:t>
      </w:r>
      <w:r w:rsidR="00155D83" w:rsidRPr="00F71507">
        <w:rPr>
          <w:i/>
        </w:rPr>
        <w:t>t</w:t>
      </w:r>
      <w:r w:rsidR="00155D83" w:rsidRPr="00F71507">
        <w:t xml:space="preserve"> = </w:t>
      </w:r>
      <w:r w:rsidR="006C03E9" w:rsidRPr="00F71507">
        <w:t>1.19</w:t>
      </w:r>
      <w:r w:rsidR="00155D83" w:rsidRPr="00F71507">
        <w:t xml:space="preserve">, </w:t>
      </w:r>
      <w:r w:rsidRPr="00F71507">
        <w:rPr>
          <w:i/>
        </w:rPr>
        <w:t>p</w:t>
      </w:r>
      <w:r w:rsidRPr="00F71507">
        <w:t xml:space="preserve"> </w:t>
      </w:r>
      <w:r w:rsidR="00DC1FB1">
        <w:t>=</w:t>
      </w:r>
      <w:r w:rsidRPr="00F71507">
        <w:t xml:space="preserve"> .</w:t>
      </w:r>
      <w:r w:rsidR="00DC1FB1">
        <w:t>23</w:t>
      </w:r>
      <w:r w:rsidRPr="00F71507">
        <w:t>5), but is opposite of our prediction for physical symptoms (</w:t>
      </w:r>
      <w:proofErr w:type="spellStart"/>
      <w:r w:rsidR="003266DF" w:rsidRPr="00F71507">
        <w:rPr>
          <w:i/>
        </w:rPr>
        <w:t>b</w:t>
      </w:r>
      <w:r w:rsidR="003266DF" w:rsidRPr="00F71507">
        <w:rPr>
          <w:vertAlign w:val="subscript"/>
        </w:rPr>
        <w:t>High</w:t>
      </w:r>
      <w:proofErr w:type="spellEnd"/>
      <w:r w:rsidR="003266DF" w:rsidRPr="00F71507">
        <w:rPr>
          <w:vertAlign w:val="subscript"/>
        </w:rPr>
        <w:t xml:space="preserve"> labor policy/practice</w:t>
      </w:r>
      <w:r w:rsidR="003266DF" w:rsidRPr="00F71507">
        <w:t xml:space="preserve"> </w:t>
      </w:r>
      <w:r w:rsidRPr="00F71507">
        <w:t xml:space="preserve">= .18, </w:t>
      </w:r>
      <w:r w:rsidR="00155D83" w:rsidRPr="00F71507">
        <w:rPr>
          <w:i/>
        </w:rPr>
        <w:t>t</w:t>
      </w:r>
      <w:r w:rsidR="00155D83" w:rsidRPr="00F71507">
        <w:t xml:space="preserve"> = </w:t>
      </w:r>
      <w:r w:rsidR="008654E8" w:rsidRPr="00F71507">
        <w:t>4.14</w:t>
      </w:r>
      <w:r w:rsidR="00155D83" w:rsidRPr="00F71507">
        <w:t xml:space="preserve">, </w:t>
      </w:r>
      <w:r w:rsidRPr="00F71507">
        <w:rPr>
          <w:i/>
        </w:rPr>
        <w:t>p</w:t>
      </w:r>
      <w:r w:rsidRPr="00F71507">
        <w:t xml:space="preserve"> </w:t>
      </w:r>
      <w:r w:rsidR="000E0C1E">
        <w:t>=</w:t>
      </w:r>
      <w:r w:rsidRPr="00F71507">
        <w:t xml:space="preserve"> .0</w:t>
      </w:r>
      <w:r w:rsidR="000E0C1E">
        <w:t>00</w:t>
      </w:r>
      <w:r w:rsidRPr="00F71507">
        <w:t xml:space="preserve">; </w:t>
      </w:r>
      <w:proofErr w:type="spellStart"/>
      <w:r w:rsidR="003266DF" w:rsidRPr="00F71507">
        <w:rPr>
          <w:i/>
        </w:rPr>
        <w:t>b</w:t>
      </w:r>
      <w:r w:rsidR="003266DF" w:rsidRPr="00F71507">
        <w:rPr>
          <w:vertAlign w:val="subscript"/>
        </w:rPr>
        <w:t>Low</w:t>
      </w:r>
      <w:proofErr w:type="spellEnd"/>
      <w:r w:rsidR="003266DF" w:rsidRPr="00F71507">
        <w:rPr>
          <w:vertAlign w:val="subscript"/>
        </w:rPr>
        <w:t xml:space="preserve"> labor policy/practice</w:t>
      </w:r>
      <w:r w:rsidR="003266DF" w:rsidRPr="00F71507">
        <w:t xml:space="preserve"> </w:t>
      </w:r>
      <w:r w:rsidRPr="00F71507">
        <w:t xml:space="preserve">= .37, </w:t>
      </w:r>
      <w:r w:rsidR="00155D83" w:rsidRPr="00F71507">
        <w:rPr>
          <w:i/>
        </w:rPr>
        <w:t>t</w:t>
      </w:r>
      <w:r w:rsidR="00155D83" w:rsidRPr="00F71507">
        <w:t xml:space="preserve"> = </w:t>
      </w:r>
      <w:r w:rsidR="008654E8" w:rsidRPr="00F71507">
        <w:t>4.63</w:t>
      </w:r>
      <w:r w:rsidR="00155D83" w:rsidRPr="00F71507">
        <w:t xml:space="preserve">, </w:t>
      </w:r>
      <w:r w:rsidRPr="00F71507">
        <w:rPr>
          <w:i/>
        </w:rPr>
        <w:t xml:space="preserve">p </w:t>
      </w:r>
      <w:r w:rsidR="000E0C1E" w:rsidRPr="009466E3">
        <w:t>=</w:t>
      </w:r>
      <w:r w:rsidRPr="00F71507">
        <w:t xml:space="preserve"> .0</w:t>
      </w:r>
      <w:r w:rsidR="000E0C1E">
        <w:t>00</w:t>
      </w:r>
      <w:r w:rsidRPr="00F71507">
        <w:t xml:space="preserve">). </w:t>
      </w:r>
      <w:r w:rsidR="00C00B5E" w:rsidRPr="00F71507">
        <w:t>Thus r</w:t>
      </w:r>
      <w:r w:rsidRPr="00F71507">
        <w:t>esults provide partial support for Hypotheses 1 and</w:t>
      </w:r>
      <w:r>
        <w:t xml:space="preserve"> 2. </w:t>
      </w:r>
    </w:p>
    <w:p w14:paraId="0DAA42B2" w14:textId="77777777" w:rsidR="007C239F" w:rsidRDefault="007C239F" w:rsidP="001515D2">
      <w:pPr>
        <w:widowControl w:val="0"/>
        <w:suppressAutoHyphens w:val="0"/>
        <w:spacing w:line="360" w:lineRule="auto"/>
        <w:jc w:val="center"/>
        <w:rPr>
          <w:b/>
        </w:rPr>
      </w:pPr>
      <w:r>
        <w:rPr>
          <w:b/>
        </w:rPr>
        <w:t>-----------------------------------------------</w:t>
      </w:r>
    </w:p>
    <w:p w14:paraId="57CD5CFC" w14:textId="77777777" w:rsidR="007C239F" w:rsidRPr="000A1A9D" w:rsidRDefault="007C239F" w:rsidP="001515D2">
      <w:pPr>
        <w:widowControl w:val="0"/>
        <w:suppressAutoHyphens w:val="0"/>
        <w:spacing w:line="360" w:lineRule="auto"/>
        <w:jc w:val="center"/>
      </w:pPr>
      <w:r w:rsidRPr="000A1A9D">
        <w:t xml:space="preserve">Insert </w:t>
      </w:r>
      <w:r>
        <w:t>Figures 1 and 2</w:t>
      </w:r>
      <w:r w:rsidRPr="000A1A9D">
        <w:t xml:space="preserve"> about here</w:t>
      </w:r>
    </w:p>
    <w:p w14:paraId="7C7523D5" w14:textId="77777777" w:rsidR="007C239F" w:rsidRDefault="007C239F" w:rsidP="001515D2">
      <w:pPr>
        <w:widowControl w:val="0"/>
        <w:suppressAutoHyphens w:val="0"/>
        <w:spacing w:line="360" w:lineRule="auto"/>
        <w:jc w:val="center"/>
        <w:rPr>
          <w:b/>
        </w:rPr>
      </w:pPr>
      <w:r>
        <w:rPr>
          <w:b/>
        </w:rPr>
        <w:t>------------------------------------------------</w:t>
      </w:r>
    </w:p>
    <w:p w14:paraId="34EC9EFC" w14:textId="77777777" w:rsidR="007C239F" w:rsidRDefault="000E3D90" w:rsidP="001515D2">
      <w:pPr>
        <w:widowControl w:val="0"/>
        <w:suppressAutoHyphens w:val="0"/>
        <w:spacing w:line="480" w:lineRule="auto"/>
        <w:ind w:firstLine="720"/>
      </w:pPr>
      <w:r>
        <w:t xml:space="preserve">To </w:t>
      </w:r>
      <w:r w:rsidR="007C239F">
        <w:t>test for mediated/indirect effects of perceived workplace gender discrimination on employee outcomes through perceived relative deprivatio</w:t>
      </w:r>
      <w:r>
        <w:t>n while accounting for the two country-level moderators, we used</w:t>
      </w:r>
      <w:r w:rsidR="007C239F">
        <w:t xml:space="preserve"> the Hayes Process Macro (Model 5)</w:t>
      </w:r>
      <w:r>
        <w:t>, which generates</w:t>
      </w:r>
      <w:r w:rsidR="007C239F">
        <w:t xml:space="preserve"> 95% confidence intervals based on 10,000 bootstrap samples. </w:t>
      </w:r>
    </w:p>
    <w:p w14:paraId="749C0615" w14:textId="63AD9850" w:rsidR="007C239F" w:rsidRDefault="007C239F" w:rsidP="001515D2">
      <w:pPr>
        <w:widowControl w:val="0"/>
        <w:suppressAutoHyphens w:val="0"/>
        <w:spacing w:line="480" w:lineRule="auto"/>
        <w:ind w:firstLine="720"/>
      </w:pPr>
      <w:r>
        <w:t xml:space="preserve">Results show that in all models </w:t>
      </w:r>
      <w:r w:rsidR="00ED485E">
        <w:t xml:space="preserve">in which </w:t>
      </w:r>
      <w:r>
        <w:t xml:space="preserve">gender egalitarianism </w:t>
      </w:r>
      <w:r w:rsidR="003266DF">
        <w:t xml:space="preserve">cultural </w:t>
      </w:r>
      <w:r>
        <w:t xml:space="preserve">practice </w:t>
      </w:r>
      <w:r w:rsidR="00ED485E">
        <w:t xml:space="preserve">was identified </w:t>
      </w:r>
      <w:r>
        <w:t>as a moderator</w:t>
      </w:r>
      <w:r w:rsidR="00ED485E">
        <w:t xml:space="preserve"> in the previous analyses</w:t>
      </w:r>
      <w:r>
        <w:t xml:space="preserve">, perceived gender discrimination had an indirect effect on the dependent variables through perceived relative deprivation. In all models with labor policy integration and practice enforcement as </w:t>
      </w:r>
      <w:r w:rsidR="00ED485E">
        <w:t xml:space="preserve">a </w:t>
      </w:r>
      <w:r>
        <w:t xml:space="preserve">moderator, perceived gender discrimination also had an indirect effect on the dependent variables through perceived relative deprivation. </w:t>
      </w:r>
      <w:r w:rsidR="00415E90">
        <w:t>See</w:t>
      </w:r>
      <w:r w:rsidR="00F366A4">
        <w:t xml:space="preserve"> the</w:t>
      </w:r>
      <w:r w:rsidR="00415E90">
        <w:t xml:space="preserve"> online</w:t>
      </w:r>
      <w:r w:rsidR="00F366A4">
        <w:t xml:space="preserve"> supplement’s</w:t>
      </w:r>
      <w:r w:rsidR="00415E90">
        <w:t xml:space="preserve"> Appendix E for the Process Macro output</w:t>
      </w:r>
      <w:r w:rsidR="005F7A73">
        <w:t xml:space="preserve"> results</w:t>
      </w:r>
      <w:r w:rsidR="00415E90">
        <w:t xml:space="preserve">. </w:t>
      </w:r>
    </w:p>
    <w:p w14:paraId="20A239FC" w14:textId="77777777" w:rsidR="0027720C" w:rsidRDefault="004F7F35" w:rsidP="004F7F35">
      <w:pPr>
        <w:widowControl w:val="0"/>
        <w:suppressAutoHyphens w:val="0"/>
        <w:spacing w:line="480" w:lineRule="auto"/>
      </w:pPr>
      <w:r>
        <w:tab/>
      </w:r>
      <w:r w:rsidR="003950E1">
        <w:rPr>
          <w:b/>
        </w:rPr>
        <w:t>Complementary</w:t>
      </w:r>
      <w:r w:rsidR="00487830">
        <w:rPr>
          <w:b/>
        </w:rPr>
        <w:t xml:space="preserve"> </w:t>
      </w:r>
      <w:r w:rsidR="00F71507">
        <w:rPr>
          <w:b/>
        </w:rPr>
        <w:t>s</w:t>
      </w:r>
      <w:r w:rsidR="00487830">
        <w:rPr>
          <w:b/>
        </w:rPr>
        <w:t xml:space="preserve">tudy 2. </w:t>
      </w:r>
      <w:r w:rsidRPr="00F71507">
        <w:t>To better ascertain the causality between perceived gender discrimination and perceived relative deprivation, we conducted a</w:t>
      </w:r>
      <w:r w:rsidR="00673B63" w:rsidRPr="00F71507">
        <w:t xml:space="preserve"> scenario-based</w:t>
      </w:r>
      <w:r w:rsidRPr="00F71507">
        <w:t xml:space="preserve"> experiment </w:t>
      </w:r>
      <w:r w:rsidR="00BA1907" w:rsidRPr="00F71507">
        <w:t xml:space="preserve">in </w:t>
      </w:r>
      <w:r w:rsidR="00BA1907" w:rsidRPr="00F71507">
        <w:lastRenderedPageBreak/>
        <w:t xml:space="preserve">which we </w:t>
      </w:r>
      <w:r w:rsidRPr="00F71507">
        <w:t>manipulat</w:t>
      </w:r>
      <w:r w:rsidR="00BA1907" w:rsidRPr="00F71507">
        <w:t>ed</w:t>
      </w:r>
      <w:r w:rsidRPr="00F71507">
        <w:t xml:space="preserve"> gender discrimination in an employment setting</w:t>
      </w:r>
      <w:r w:rsidR="00BA1907" w:rsidRPr="00F71507">
        <w:t xml:space="preserve">. </w:t>
      </w:r>
      <w:r w:rsidR="00673B63" w:rsidRPr="00F71507">
        <w:t>Participants (</w:t>
      </w:r>
      <w:r w:rsidR="00673B63" w:rsidRPr="00F71507">
        <w:rPr>
          <w:i/>
        </w:rPr>
        <w:t>N</w:t>
      </w:r>
      <w:r w:rsidR="00673B63" w:rsidRPr="00F71507">
        <w:t xml:space="preserve"> = 105) were randomly assigned to read and respond to a</w:t>
      </w:r>
      <w:r w:rsidRPr="00F71507">
        <w:t xml:space="preserve"> vignette</w:t>
      </w:r>
      <w:r w:rsidR="00BA1907" w:rsidRPr="00F71507">
        <w:t xml:space="preserve"> containing either</w:t>
      </w:r>
      <w:r w:rsidRPr="00F71507">
        <w:t xml:space="preserve"> </w:t>
      </w:r>
      <w:r w:rsidR="00673B63" w:rsidRPr="00F71507">
        <w:t xml:space="preserve">a </w:t>
      </w:r>
      <w:r w:rsidRPr="00F71507">
        <w:t>high</w:t>
      </w:r>
      <w:r w:rsidR="00BA1907" w:rsidRPr="00F71507">
        <w:t xml:space="preserve"> or</w:t>
      </w:r>
      <w:r w:rsidRPr="00F71507">
        <w:t xml:space="preserve"> low gender discrimination scenario</w:t>
      </w:r>
      <w:r w:rsidR="00673B63" w:rsidRPr="00F71507">
        <w:t xml:space="preserve"> and measures of perceived relative deprivation and employee outcomes (job attitudes, physical symptoms, psychological symptoms, and performance-based and relationship-based job outcomes). </w:t>
      </w:r>
      <w:r w:rsidR="00043DDD">
        <w:t xml:space="preserve">Participants </w:t>
      </w:r>
      <w:r w:rsidR="00AC787E">
        <w:t>read a scenario explaining that</w:t>
      </w:r>
      <w:r w:rsidR="00043DDD">
        <w:t xml:space="preserve"> they applied for a Compensation Manager position</w:t>
      </w:r>
      <w:r w:rsidR="00AC787E">
        <w:t xml:space="preserve">. </w:t>
      </w:r>
      <w:r w:rsidR="004600C8">
        <w:t xml:space="preserve">They (the participants) were described as being well-qualified for the job while the competing candidate (a person of the opposite sex) was not. </w:t>
      </w:r>
      <w:r w:rsidR="00AC787E">
        <w:t xml:space="preserve">As they </w:t>
      </w:r>
      <w:r w:rsidR="00043DDD">
        <w:t xml:space="preserve">read </w:t>
      </w:r>
      <w:r w:rsidR="00AC787E">
        <w:t xml:space="preserve">the scenario, participants saw </w:t>
      </w:r>
      <w:r w:rsidR="00043DDD">
        <w:t xml:space="preserve">gender-appropriate names in the scenario such that they either were or were not experiencing discrimination from members of the opposite sex. </w:t>
      </w:r>
      <w:r w:rsidR="0027720C">
        <w:t>See Appendix F of the online supplement for the scenarios.</w:t>
      </w:r>
      <w:r w:rsidR="00AC787E">
        <w:t xml:space="preserve"> </w:t>
      </w:r>
    </w:p>
    <w:p w14:paraId="0A9730D2" w14:textId="77777777" w:rsidR="0027720C" w:rsidRPr="0027720C" w:rsidRDefault="0027720C" w:rsidP="0027720C">
      <w:pPr>
        <w:widowControl w:val="0"/>
        <w:suppressAutoHyphens w:val="0"/>
        <w:spacing w:line="480" w:lineRule="auto"/>
        <w:ind w:firstLine="720"/>
      </w:pPr>
      <w:r w:rsidRPr="0027720C">
        <w:t>Participants were recruited from business courses (undergraduate and master’s) at three large public U</w:t>
      </w:r>
      <w:r w:rsidR="00A40860">
        <w:t>.S.</w:t>
      </w:r>
      <w:r w:rsidRPr="0027720C">
        <w:t xml:space="preserve"> universities and received extra credit points in their course in exchange for participating. They were 27 years of age on average, had six years of full-time work experience, and five years of part-time work experience. Demographically they were 62% male, 57% White, 13% Hispanic, 12% Black, 11% Asian, and 6% other. Of the participants, 47% had a college undergraduate degree. Participants were randomly assigned to one of the two scenarios (high discrimination scenario </w:t>
      </w:r>
      <w:r w:rsidRPr="0027720C">
        <w:rPr>
          <w:i/>
        </w:rPr>
        <w:t>N</w:t>
      </w:r>
      <w:r w:rsidR="00A40860">
        <w:t xml:space="preserve"> = 54;</w:t>
      </w:r>
      <w:r w:rsidRPr="0027720C">
        <w:t xml:space="preserve"> low discrimination scenario </w:t>
      </w:r>
      <w:r w:rsidRPr="0027720C">
        <w:rPr>
          <w:i/>
        </w:rPr>
        <w:t>N</w:t>
      </w:r>
      <w:r w:rsidRPr="0027720C">
        <w:t xml:space="preserve"> = 51). </w:t>
      </w:r>
    </w:p>
    <w:p w14:paraId="6538AB93" w14:textId="2AE15E24" w:rsidR="0027720C" w:rsidRPr="0027720C" w:rsidRDefault="0027720C" w:rsidP="0027720C">
      <w:pPr>
        <w:widowControl w:val="0"/>
        <w:suppressAutoHyphens w:val="0"/>
        <w:spacing w:line="480" w:lineRule="auto"/>
        <w:ind w:firstLine="720"/>
      </w:pPr>
      <w:r w:rsidRPr="0027720C">
        <w:t xml:space="preserve">All measures of the dependent variables used in this study are the same as those used in the </w:t>
      </w:r>
      <w:r w:rsidR="00F523CC">
        <w:t>survey</w:t>
      </w:r>
      <w:r w:rsidR="00F523CC" w:rsidRPr="0027720C">
        <w:t xml:space="preserve"> </w:t>
      </w:r>
      <w:r w:rsidRPr="0027720C">
        <w:t>study as shown in Appendix E</w:t>
      </w:r>
      <w:r w:rsidR="00DE55D3">
        <w:t xml:space="preserve"> (Table E1)</w:t>
      </w:r>
      <w:r w:rsidR="005F7A73">
        <w:t xml:space="preserve"> of the online supplement</w:t>
      </w:r>
      <w:r w:rsidRPr="0027720C">
        <w:t>. Cronbach</w:t>
      </w:r>
      <w:r w:rsidR="005F7A73">
        <w:t>’s</w:t>
      </w:r>
      <w:r w:rsidRPr="0027720C">
        <w:t xml:space="preserve"> alpha reliabilities were </w:t>
      </w:r>
      <w:r w:rsidR="00C6166F">
        <w:t>high</w:t>
      </w:r>
      <w:r w:rsidR="00C6166F" w:rsidRPr="0027720C">
        <w:t xml:space="preserve"> </w:t>
      </w:r>
      <w:r w:rsidRPr="0027720C">
        <w:t xml:space="preserve">for all variables: .84 for </w:t>
      </w:r>
      <w:r w:rsidR="003E7A65">
        <w:t xml:space="preserve">perceived </w:t>
      </w:r>
      <w:r w:rsidRPr="0027720C">
        <w:t xml:space="preserve">relative deprivation, </w:t>
      </w:r>
      <w:r w:rsidR="003E7A65">
        <w:t xml:space="preserve">.84 for procedural justice, </w:t>
      </w:r>
      <w:r w:rsidRPr="0027720C">
        <w:t>.79 for anxiety, .94 for physical symptoms, .96 for leader-member exchange, and .88 for job performance.</w:t>
      </w:r>
      <w:r>
        <w:t xml:space="preserve"> </w:t>
      </w:r>
      <w:r w:rsidRPr="0027720C">
        <w:t>We controlled for participants’ gender in the analyses</w:t>
      </w:r>
      <w:r w:rsidR="00A40860">
        <w:t xml:space="preserve"> because</w:t>
      </w:r>
      <w:r w:rsidRPr="0027720C">
        <w:t xml:space="preserve"> women experience more discrimination than men (</w:t>
      </w:r>
      <w:proofErr w:type="spellStart"/>
      <w:r w:rsidRPr="0027720C">
        <w:t>Benokraitis</w:t>
      </w:r>
      <w:proofErr w:type="spellEnd"/>
      <w:r w:rsidRPr="0027720C">
        <w:t xml:space="preserve"> &amp; Feagin, 1995; Heilman, 2001; </w:t>
      </w:r>
      <w:r w:rsidRPr="0027720C">
        <w:lastRenderedPageBreak/>
        <w:t>Ridgeway, 2011)</w:t>
      </w:r>
      <w:r w:rsidR="00A40860">
        <w:t>,</w:t>
      </w:r>
      <w:r w:rsidRPr="0027720C">
        <w:t xml:space="preserve"> </w:t>
      </w:r>
      <w:r w:rsidR="002279A3">
        <w:t>which</w:t>
      </w:r>
      <w:r w:rsidRPr="0027720C">
        <w:t xml:space="preserve"> may affect responses to the scenario. We also control</w:t>
      </w:r>
      <w:r>
        <w:t>led</w:t>
      </w:r>
      <w:r w:rsidRPr="0027720C">
        <w:t xml:space="preserve"> for w</w:t>
      </w:r>
      <w:r>
        <w:t>he</w:t>
      </w:r>
      <w:r w:rsidRPr="0027720C">
        <w:t>ther participants were born in the U</w:t>
      </w:r>
      <w:r w:rsidR="00783C81">
        <w:t>.</w:t>
      </w:r>
      <w:r w:rsidRPr="0027720C">
        <w:t>S</w:t>
      </w:r>
      <w:r w:rsidR="00783C81">
        <w:t>.</w:t>
      </w:r>
      <w:r w:rsidRPr="0027720C">
        <w:t xml:space="preserve"> or not</w:t>
      </w:r>
      <w:r w:rsidR="00C6166F">
        <w:t>,</w:t>
      </w:r>
      <w:r w:rsidRPr="0027720C">
        <w:t xml:space="preserve"> to </w:t>
      </w:r>
      <w:r w:rsidR="00F523CC">
        <w:t>account for</w:t>
      </w:r>
      <w:r w:rsidRPr="0027720C">
        <w:t xml:space="preserve"> cultural differences in perception.</w:t>
      </w:r>
    </w:p>
    <w:p w14:paraId="4A1B0496" w14:textId="1E735D9B" w:rsidR="0027720C" w:rsidRPr="0027720C" w:rsidRDefault="0027720C" w:rsidP="0027720C">
      <w:pPr>
        <w:widowControl w:val="0"/>
        <w:suppressAutoHyphens w:val="0"/>
        <w:spacing w:line="480" w:lineRule="auto"/>
        <w:ind w:firstLine="720"/>
      </w:pPr>
      <w:r w:rsidRPr="0027720C">
        <w:t xml:space="preserve">Manipulation checks were measured </w:t>
      </w:r>
      <w:r>
        <w:t xml:space="preserve">as </w:t>
      </w:r>
      <w:r w:rsidRPr="0027720C">
        <w:t xml:space="preserve">1 = </w:t>
      </w:r>
      <w:r w:rsidRPr="0027720C">
        <w:rPr>
          <w:i/>
        </w:rPr>
        <w:t>strongly disagree</w:t>
      </w:r>
      <w:r w:rsidRPr="0027720C">
        <w:t xml:space="preserve"> to 7 = </w:t>
      </w:r>
      <w:r w:rsidRPr="0027720C">
        <w:rPr>
          <w:i/>
        </w:rPr>
        <w:t>strongly agree</w:t>
      </w:r>
      <w:r w:rsidRPr="0027720C">
        <w:t xml:space="preserve"> and asked participants </w:t>
      </w:r>
      <w:r w:rsidR="00C6166F">
        <w:t>whether</w:t>
      </w:r>
      <w:r w:rsidR="00C6166F" w:rsidRPr="0027720C">
        <w:t xml:space="preserve"> </w:t>
      </w:r>
      <w:r w:rsidRPr="0027720C">
        <w:t xml:space="preserve">“You were offered the Compensation Manager position” (high discrimination scenario mean = 2.48, </w:t>
      </w:r>
      <w:r w:rsidR="002211CC" w:rsidRPr="002211CC">
        <w:rPr>
          <w:i/>
        </w:rPr>
        <w:t xml:space="preserve">SD </w:t>
      </w:r>
      <w:r w:rsidRPr="0027720C">
        <w:t xml:space="preserve">= 1.70; low discrimination scenario mean = 5.35, </w:t>
      </w:r>
      <w:r w:rsidR="002211CC" w:rsidRPr="002211CC">
        <w:rPr>
          <w:i/>
        </w:rPr>
        <w:t xml:space="preserve">SD </w:t>
      </w:r>
      <w:r w:rsidRPr="0027720C">
        <w:t xml:space="preserve">= 1.04, </w:t>
      </w:r>
      <w:r w:rsidRPr="0027720C">
        <w:rPr>
          <w:i/>
        </w:rPr>
        <w:t>t</w:t>
      </w:r>
      <w:r w:rsidRPr="0027720C">
        <w:t xml:space="preserve"> = 10.37, </w:t>
      </w:r>
      <w:r w:rsidRPr="0027720C">
        <w:rPr>
          <w:i/>
        </w:rPr>
        <w:t>p</w:t>
      </w:r>
      <w:r w:rsidRPr="0027720C">
        <w:t xml:space="preserve"> </w:t>
      </w:r>
      <w:r w:rsidR="003A43C9">
        <w:t>=</w:t>
      </w:r>
      <w:r w:rsidRPr="0027720C">
        <w:t xml:space="preserve"> .0</w:t>
      </w:r>
      <w:r w:rsidR="003A43C9">
        <w:t>00</w:t>
      </w:r>
      <w:r w:rsidRPr="0027720C">
        <w:t>);</w:t>
      </w:r>
      <w:r w:rsidR="00CC36B6">
        <w:t xml:space="preserve"> and</w:t>
      </w:r>
      <w:r w:rsidR="00C41E2B">
        <w:t xml:space="preserve"> whether</w:t>
      </w:r>
      <w:r w:rsidRPr="0027720C">
        <w:t xml:space="preserve"> “The best-qualified candidate for the job was hired in the scenario” (high discrimination mean = 2.20, </w:t>
      </w:r>
      <w:r w:rsidR="002211CC" w:rsidRPr="002211CC">
        <w:rPr>
          <w:i/>
        </w:rPr>
        <w:t xml:space="preserve">SD </w:t>
      </w:r>
      <w:r w:rsidRPr="0027720C">
        <w:t xml:space="preserve">= 1.47, low discrimination mean = 5.33, </w:t>
      </w:r>
      <w:r w:rsidR="002211CC" w:rsidRPr="002211CC">
        <w:rPr>
          <w:i/>
        </w:rPr>
        <w:t xml:space="preserve">SD </w:t>
      </w:r>
      <w:r w:rsidRPr="0027720C">
        <w:t xml:space="preserve">= 1.11, </w:t>
      </w:r>
      <w:r w:rsidRPr="0027720C">
        <w:rPr>
          <w:i/>
        </w:rPr>
        <w:t>t</w:t>
      </w:r>
      <w:r w:rsidRPr="0027720C">
        <w:t xml:space="preserve"> = 12.26, </w:t>
      </w:r>
      <w:r w:rsidRPr="0027720C">
        <w:rPr>
          <w:i/>
        </w:rPr>
        <w:t>p</w:t>
      </w:r>
      <w:r w:rsidRPr="0027720C">
        <w:t xml:space="preserve"> </w:t>
      </w:r>
      <w:r w:rsidR="003A43C9">
        <w:t>=</w:t>
      </w:r>
      <w:r w:rsidRPr="0027720C">
        <w:t xml:space="preserve"> .0</w:t>
      </w:r>
      <w:r w:rsidR="003A43C9">
        <w:t>00</w:t>
      </w:r>
      <w:r w:rsidRPr="0027720C">
        <w:t xml:space="preserve">). Therefore, manipulation checks show evidence </w:t>
      </w:r>
      <w:r w:rsidR="00AB68DD">
        <w:t>of</w:t>
      </w:r>
      <w:r w:rsidR="00AB68DD" w:rsidRPr="0027720C">
        <w:t xml:space="preserve"> </w:t>
      </w:r>
      <w:r w:rsidRPr="0027720C">
        <w:t>discrimination.</w:t>
      </w:r>
      <w:r w:rsidR="00CC36B6">
        <w:t xml:space="preserve"> </w:t>
      </w:r>
      <w:r w:rsidR="00C41E2B">
        <w:t>As our independent variable (i.e., perceived gender discrimination toward oneself) for this study, w</w:t>
      </w:r>
      <w:r w:rsidR="00CC36B6">
        <w:t xml:space="preserve">e used one survey item asking </w:t>
      </w:r>
      <w:r w:rsidR="00CC36B6" w:rsidRPr="0027720C">
        <w:t>“In the scenario, you experienced gender discrimination</w:t>
      </w:r>
      <w:r w:rsidR="005F7A73">
        <w:t>.</w:t>
      </w:r>
      <w:r w:rsidR="00CC36B6" w:rsidRPr="0027720C">
        <w:t>”</w:t>
      </w:r>
      <w:r w:rsidR="00CC36B6">
        <w:t xml:space="preserve"> </w:t>
      </w:r>
    </w:p>
    <w:p w14:paraId="098BD4B3" w14:textId="4ADAD35E" w:rsidR="00535223" w:rsidRDefault="001171C1" w:rsidP="0027720C">
      <w:pPr>
        <w:widowControl w:val="0"/>
        <w:suppressAutoHyphens w:val="0"/>
        <w:spacing w:line="480" w:lineRule="auto"/>
        <w:ind w:firstLine="720"/>
      </w:pPr>
      <w:r>
        <w:t>We conducted regression analyses in SPSS to test for mediation according to the Baron and Kenny (1986) four</w:t>
      </w:r>
      <w:r w:rsidR="005F7A73">
        <w:t>-</w:t>
      </w:r>
      <w:r>
        <w:t xml:space="preserve">step method. Step 1 requires that the independent variable is significantly related to the outcome variable. Step 2 requires that the independent variable is significantly related to the mediator. Step 3 requires that the mediator is significantly related to the outcome variable in a model where the independent variable is also included. Step 4 involves assessing whether </w:t>
      </w:r>
      <w:r w:rsidR="00126B02">
        <w:t xml:space="preserve">including </w:t>
      </w:r>
      <w:r>
        <w:t xml:space="preserve">the mediator reduces the </w:t>
      </w:r>
      <w:r w:rsidR="00C812E9">
        <w:t xml:space="preserve">size of the relationship between </w:t>
      </w:r>
      <w:r>
        <w:t xml:space="preserve">the independent variable </w:t>
      </w:r>
      <w:r w:rsidR="00C812E9">
        <w:t xml:space="preserve">and </w:t>
      </w:r>
      <w:r>
        <w:t xml:space="preserve">the dependent variable. If the </w:t>
      </w:r>
      <w:r w:rsidR="00C812E9">
        <w:t>coefficient on</w:t>
      </w:r>
      <w:r>
        <w:t xml:space="preserve"> the independent variable </w:t>
      </w:r>
      <w:r w:rsidR="00C812E9">
        <w:t xml:space="preserve">decreases in size or </w:t>
      </w:r>
      <w:r>
        <w:t xml:space="preserve">loses </w:t>
      </w:r>
      <w:r w:rsidR="00C812E9">
        <w:t xml:space="preserve">its </w:t>
      </w:r>
      <w:r>
        <w:t>statistical significance</w:t>
      </w:r>
      <w:r w:rsidR="00C812E9">
        <w:t xml:space="preserve"> when the mediator is included, </w:t>
      </w:r>
      <w:r>
        <w:t>that indicate</w:t>
      </w:r>
      <w:r w:rsidR="009466E3">
        <w:t>s</w:t>
      </w:r>
      <w:r>
        <w:t xml:space="preserve"> mediation.  </w:t>
      </w:r>
    </w:p>
    <w:p w14:paraId="546B8136" w14:textId="4CC6BFA6" w:rsidR="00285A26" w:rsidRPr="004F7F35" w:rsidRDefault="00EA33E5" w:rsidP="0027720C">
      <w:pPr>
        <w:widowControl w:val="0"/>
        <w:suppressAutoHyphens w:val="0"/>
        <w:spacing w:line="480" w:lineRule="auto"/>
        <w:ind w:firstLine="720"/>
      </w:pPr>
      <w:r>
        <w:t xml:space="preserve">Perceived </w:t>
      </w:r>
      <w:r w:rsidR="0027720C" w:rsidRPr="0027720C">
        <w:t xml:space="preserve">gender discrimination is significantly associated with </w:t>
      </w:r>
      <w:r w:rsidR="0090115A">
        <w:t xml:space="preserve">the outcomes, </w:t>
      </w:r>
      <w:r w:rsidR="0027720C" w:rsidRPr="0027720C">
        <w:t>procedural justice (β = -.6</w:t>
      </w:r>
      <w:r>
        <w:t>5</w:t>
      </w:r>
      <w:r w:rsidR="0027720C" w:rsidRPr="0027720C">
        <w:t xml:space="preserve">, </w:t>
      </w:r>
      <w:r w:rsidR="0027720C" w:rsidRPr="0027720C">
        <w:rPr>
          <w:i/>
        </w:rPr>
        <w:t>t</w:t>
      </w:r>
      <w:r w:rsidR="0027720C" w:rsidRPr="0027720C">
        <w:t xml:space="preserve"> = -</w:t>
      </w:r>
      <w:r>
        <w:t>8.58</w:t>
      </w:r>
      <w:r w:rsidR="0027720C" w:rsidRPr="0027720C">
        <w:t xml:space="preserve">, </w:t>
      </w:r>
      <w:r w:rsidR="0027720C" w:rsidRPr="0027720C">
        <w:rPr>
          <w:i/>
        </w:rPr>
        <w:t>p</w:t>
      </w:r>
      <w:r w:rsidR="0027720C" w:rsidRPr="0027720C">
        <w:t xml:space="preserve"> </w:t>
      </w:r>
      <w:r>
        <w:t>=</w:t>
      </w:r>
      <w:r w:rsidR="0027720C" w:rsidRPr="0027720C">
        <w:t xml:space="preserve"> .0</w:t>
      </w:r>
      <w:r>
        <w:t>00</w:t>
      </w:r>
      <w:r w:rsidR="0027720C" w:rsidRPr="0027720C">
        <w:t>), anxiety (β = .4</w:t>
      </w:r>
      <w:r>
        <w:t>7</w:t>
      </w:r>
      <w:r w:rsidR="0027720C" w:rsidRPr="0027720C">
        <w:t xml:space="preserve">, </w:t>
      </w:r>
      <w:r w:rsidR="0027720C" w:rsidRPr="0027720C">
        <w:rPr>
          <w:i/>
        </w:rPr>
        <w:t>t</w:t>
      </w:r>
      <w:r w:rsidR="0027720C" w:rsidRPr="0027720C">
        <w:t xml:space="preserve"> = </w:t>
      </w:r>
      <w:r>
        <w:t>5.42</w:t>
      </w:r>
      <w:r w:rsidR="0027720C" w:rsidRPr="0027720C">
        <w:t xml:space="preserve">, </w:t>
      </w:r>
      <w:r w:rsidR="0027720C" w:rsidRPr="0027720C">
        <w:rPr>
          <w:i/>
        </w:rPr>
        <w:t>p</w:t>
      </w:r>
      <w:r w:rsidR="0027720C" w:rsidRPr="0027720C">
        <w:t xml:space="preserve"> </w:t>
      </w:r>
      <w:r>
        <w:t>=</w:t>
      </w:r>
      <w:r w:rsidR="0027720C" w:rsidRPr="0027720C">
        <w:t xml:space="preserve"> .0</w:t>
      </w:r>
      <w:r>
        <w:t>00</w:t>
      </w:r>
      <w:r w:rsidR="0027720C" w:rsidRPr="0027720C">
        <w:t>), physical symptoms (β = .2</w:t>
      </w:r>
      <w:r>
        <w:t>7</w:t>
      </w:r>
      <w:r w:rsidR="0027720C" w:rsidRPr="0027720C">
        <w:t xml:space="preserve">, </w:t>
      </w:r>
      <w:r w:rsidR="0027720C" w:rsidRPr="0027720C">
        <w:rPr>
          <w:i/>
        </w:rPr>
        <w:t>t</w:t>
      </w:r>
      <w:r w:rsidR="0027720C" w:rsidRPr="0027720C">
        <w:t xml:space="preserve"> = 2.</w:t>
      </w:r>
      <w:r>
        <w:t>8</w:t>
      </w:r>
      <w:r w:rsidR="0027720C" w:rsidRPr="0027720C">
        <w:t xml:space="preserve">1, </w:t>
      </w:r>
      <w:r w:rsidR="0027720C" w:rsidRPr="0027720C">
        <w:rPr>
          <w:i/>
        </w:rPr>
        <w:t>p</w:t>
      </w:r>
      <w:r w:rsidR="0027720C" w:rsidRPr="0027720C">
        <w:t xml:space="preserve"> </w:t>
      </w:r>
      <w:r>
        <w:t>=</w:t>
      </w:r>
      <w:r w:rsidR="0027720C" w:rsidRPr="0027720C">
        <w:t xml:space="preserve"> .0</w:t>
      </w:r>
      <w:r>
        <w:t>06</w:t>
      </w:r>
      <w:r w:rsidR="0027720C" w:rsidRPr="0027720C">
        <w:t xml:space="preserve">), </w:t>
      </w:r>
      <w:r w:rsidR="00131A3B">
        <w:t xml:space="preserve">job </w:t>
      </w:r>
      <w:r w:rsidR="0027720C" w:rsidRPr="0027720C">
        <w:t>performance (β = -.4</w:t>
      </w:r>
      <w:r>
        <w:t>2</w:t>
      </w:r>
      <w:r w:rsidR="0027720C" w:rsidRPr="0027720C">
        <w:t xml:space="preserve">, </w:t>
      </w:r>
      <w:r w:rsidR="0027720C" w:rsidRPr="0027720C">
        <w:rPr>
          <w:i/>
        </w:rPr>
        <w:t>t</w:t>
      </w:r>
      <w:r w:rsidR="0027720C" w:rsidRPr="0027720C">
        <w:t xml:space="preserve"> = -4.</w:t>
      </w:r>
      <w:r>
        <w:t>6</w:t>
      </w:r>
      <w:r w:rsidR="0027720C" w:rsidRPr="0027720C">
        <w:t xml:space="preserve">8, </w:t>
      </w:r>
      <w:r w:rsidR="0027720C" w:rsidRPr="0027720C">
        <w:rPr>
          <w:i/>
        </w:rPr>
        <w:t>p</w:t>
      </w:r>
      <w:r w:rsidR="0027720C" w:rsidRPr="0027720C">
        <w:t xml:space="preserve"> </w:t>
      </w:r>
      <w:r>
        <w:t>=</w:t>
      </w:r>
      <w:r w:rsidR="0027720C" w:rsidRPr="0027720C">
        <w:t xml:space="preserve"> .0</w:t>
      </w:r>
      <w:r>
        <w:t>00</w:t>
      </w:r>
      <w:r w:rsidR="0027720C" w:rsidRPr="0027720C">
        <w:t>), leader-member exchange (β = -.</w:t>
      </w:r>
      <w:r w:rsidR="009B026B">
        <w:t>70</w:t>
      </w:r>
      <w:r w:rsidR="0027720C" w:rsidRPr="0027720C">
        <w:t xml:space="preserve">, </w:t>
      </w:r>
      <w:r w:rsidR="0027720C" w:rsidRPr="0027720C">
        <w:rPr>
          <w:i/>
        </w:rPr>
        <w:t>t</w:t>
      </w:r>
      <w:r w:rsidR="0027720C" w:rsidRPr="0027720C">
        <w:t xml:space="preserve"> = -</w:t>
      </w:r>
      <w:r w:rsidR="009B026B">
        <w:t>9.88</w:t>
      </w:r>
      <w:r w:rsidR="0027720C" w:rsidRPr="0027720C">
        <w:t xml:space="preserve">, </w:t>
      </w:r>
      <w:r w:rsidR="0027720C" w:rsidRPr="0027720C">
        <w:rPr>
          <w:i/>
        </w:rPr>
        <w:t>p</w:t>
      </w:r>
      <w:r w:rsidR="0027720C" w:rsidRPr="0027720C">
        <w:t xml:space="preserve"> </w:t>
      </w:r>
      <w:r w:rsidR="009B026B">
        <w:t>=</w:t>
      </w:r>
      <w:r w:rsidR="0027720C" w:rsidRPr="0027720C">
        <w:t xml:space="preserve"> .0</w:t>
      </w:r>
      <w:r w:rsidR="009B026B">
        <w:t>00</w:t>
      </w:r>
      <w:r w:rsidR="0027720C" w:rsidRPr="0027720C">
        <w:t>)</w:t>
      </w:r>
      <w:r w:rsidR="00C10B63">
        <w:t>, and</w:t>
      </w:r>
      <w:r w:rsidR="0090115A">
        <w:t xml:space="preserve"> the mediator,</w:t>
      </w:r>
      <w:r w:rsidR="00C10B63">
        <w:t xml:space="preserve"> </w:t>
      </w:r>
      <w:r w:rsidR="00C10B63" w:rsidRPr="0027720C">
        <w:t>relative deprivation (β = .</w:t>
      </w:r>
      <w:r w:rsidR="00C10B63">
        <w:t>80</w:t>
      </w:r>
      <w:r w:rsidR="00C10B63" w:rsidRPr="0027720C">
        <w:t xml:space="preserve">, </w:t>
      </w:r>
      <w:r w:rsidR="00C10B63" w:rsidRPr="0027720C">
        <w:rPr>
          <w:i/>
        </w:rPr>
        <w:t>t</w:t>
      </w:r>
      <w:r w:rsidR="00C10B63" w:rsidRPr="0027720C">
        <w:t xml:space="preserve"> = </w:t>
      </w:r>
      <w:r w:rsidR="00C10B63">
        <w:t>13.36</w:t>
      </w:r>
      <w:r w:rsidR="00C10B63" w:rsidRPr="0027720C">
        <w:t xml:space="preserve">, </w:t>
      </w:r>
      <w:r w:rsidR="00C10B63" w:rsidRPr="0027720C">
        <w:rPr>
          <w:i/>
        </w:rPr>
        <w:t>p</w:t>
      </w:r>
      <w:r w:rsidR="00C10B63" w:rsidRPr="0027720C">
        <w:t xml:space="preserve"> </w:t>
      </w:r>
      <w:r w:rsidR="00C10B63">
        <w:t>=</w:t>
      </w:r>
      <w:r w:rsidR="00C10B63" w:rsidRPr="0027720C">
        <w:t xml:space="preserve"> .0</w:t>
      </w:r>
      <w:r w:rsidR="00C10B63">
        <w:t>00</w:t>
      </w:r>
      <w:r w:rsidR="00C10B63" w:rsidRPr="0027720C">
        <w:t>)</w:t>
      </w:r>
      <w:r w:rsidR="0090115A">
        <w:t>.</w:t>
      </w:r>
      <w:r w:rsidR="0027720C" w:rsidRPr="0027720C">
        <w:t xml:space="preserve"> </w:t>
      </w:r>
      <w:r w:rsidR="0090115A">
        <w:t>T</w:t>
      </w:r>
      <w:r w:rsidR="0022245E">
        <w:t xml:space="preserve">he mediator, relative deprivation, was </w:t>
      </w:r>
      <w:r w:rsidR="0090115A">
        <w:t xml:space="preserve">also </w:t>
      </w:r>
      <w:r w:rsidR="00CB4681">
        <w:t>related to</w:t>
      </w:r>
      <w:r w:rsidR="0022245E">
        <w:t xml:space="preserve"> </w:t>
      </w:r>
      <w:r w:rsidR="001C44EB">
        <w:t>most</w:t>
      </w:r>
      <w:r w:rsidR="0022245E">
        <w:t xml:space="preserve"> dependent variable</w:t>
      </w:r>
      <w:r w:rsidR="00F74532">
        <w:t>s</w:t>
      </w:r>
      <w:r w:rsidR="0022245E">
        <w:t xml:space="preserve"> when </w:t>
      </w:r>
      <w:r w:rsidR="0022245E">
        <w:lastRenderedPageBreak/>
        <w:t>perceived discrimination was included in the model</w:t>
      </w:r>
      <w:r w:rsidR="009226D6">
        <w:t xml:space="preserve"> (with probability values ranging from .097 to .000 using two-tailed tests</w:t>
      </w:r>
      <w:r w:rsidR="0090115A">
        <w:t>; See Table F3 in Appendix F</w:t>
      </w:r>
      <w:r w:rsidR="005F7A73">
        <w:t xml:space="preserve"> of the online supplement</w:t>
      </w:r>
      <w:r w:rsidR="00F74532">
        <w:t>)</w:t>
      </w:r>
      <w:r w:rsidR="0022245E">
        <w:t xml:space="preserve">. </w:t>
      </w:r>
      <w:r w:rsidR="0090115A">
        <w:t>W</w:t>
      </w:r>
      <w:r w:rsidR="0022245E">
        <w:t>hen</w:t>
      </w:r>
      <w:r w:rsidR="0027720C" w:rsidRPr="0027720C">
        <w:t xml:space="preserve"> relative deprivation </w:t>
      </w:r>
      <w:r w:rsidR="0022245E">
        <w:t xml:space="preserve">was included in the model, </w:t>
      </w:r>
      <w:r w:rsidR="0027720C" w:rsidRPr="0027720C">
        <w:t xml:space="preserve">the </w:t>
      </w:r>
      <w:r w:rsidR="0090115A">
        <w:t xml:space="preserve">size of the </w:t>
      </w:r>
      <w:r w:rsidR="0027720C" w:rsidRPr="0027720C">
        <w:t xml:space="preserve">coefficient </w:t>
      </w:r>
      <w:r w:rsidR="0090115A">
        <w:t xml:space="preserve">on </w:t>
      </w:r>
      <w:r w:rsidR="0022245E">
        <w:t xml:space="preserve">perceived </w:t>
      </w:r>
      <w:r w:rsidR="0027720C" w:rsidRPr="0027720C">
        <w:t xml:space="preserve">gender discrimination </w:t>
      </w:r>
      <w:r w:rsidR="0090115A">
        <w:t xml:space="preserve">decreased for </w:t>
      </w:r>
      <w:r w:rsidR="00920656">
        <w:t xml:space="preserve">all </w:t>
      </w:r>
      <w:r w:rsidR="0027720C" w:rsidRPr="0027720C">
        <w:t>dependent variable</w:t>
      </w:r>
      <w:r w:rsidR="0090115A">
        <w:t>s</w:t>
      </w:r>
      <w:r w:rsidR="0027720C" w:rsidRPr="0027720C">
        <w:t xml:space="preserve"> </w:t>
      </w:r>
      <w:r w:rsidR="0090115A">
        <w:t>except one</w:t>
      </w:r>
      <w:r w:rsidR="0027720C" w:rsidRPr="0027720C">
        <w:t xml:space="preserve">. </w:t>
      </w:r>
      <w:r w:rsidR="00920656">
        <w:t xml:space="preserve">There is evidence of mediation </w:t>
      </w:r>
      <w:r w:rsidR="00CE2320">
        <w:t xml:space="preserve">of the effect of perceived gender discrimination through relative deprivation for </w:t>
      </w:r>
      <w:r w:rsidR="00920656">
        <w:t xml:space="preserve">anxiety, physical symptoms, </w:t>
      </w:r>
      <w:r w:rsidR="00CE2320">
        <w:t xml:space="preserve">job </w:t>
      </w:r>
      <w:r w:rsidR="00920656">
        <w:t xml:space="preserve">performance, </w:t>
      </w:r>
      <w:r w:rsidR="00CE2320">
        <w:t xml:space="preserve">and </w:t>
      </w:r>
      <w:r w:rsidR="00920656" w:rsidRPr="0027720C">
        <w:t>leader-member exchange</w:t>
      </w:r>
      <w:r w:rsidR="00920656">
        <w:t xml:space="preserve">, </w:t>
      </w:r>
      <w:r w:rsidR="00CE2320">
        <w:t xml:space="preserve">but not </w:t>
      </w:r>
      <w:r w:rsidR="00920656">
        <w:t xml:space="preserve">for </w:t>
      </w:r>
      <w:r w:rsidR="0027720C" w:rsidRPr="0027720C">
        <w:t>procedural justice</w:t>
      </w:r>
      <w:r w:rsidR="00920656">
        <w:t>.</w:t>
      </w:r>
      <w:r w:rsidR="0027720C" w:rsidRPr="0027720C">
        <w:t xml:space="preserve"> </w:t>
      </w:r>
      <w:r w:rsidR="00920656">
        <w:t>See Appendix F</w:t>
      </w:r>
      <w:r w:rsidR="00B72CCA">
        <w:t>,</w:t>
      </w:r>
      <w:r w:rsidR="009958D5">
        <w:t xml:space="preserve"> Tables F1-F3</w:t>
      </w:r>
      <w:r w:rsidR="00B72CCA">
        <w:t>,</w:t>
      </w:r>
      <w:r w:rsidR="00920656">
        <w:t xml:space="preserve"> of the online supplement for details. </w:t>
      </w:r>
      <w:r w:rsidR="00F74532">
        <w:t xml:space="preserve">Overall, </w:t>
      </w:r>
      <w:r w:rsidR="004F7F35" w:rsidRPr="00F71507">
        <w:t>results</w:t>
      </w:r>
      <w:r w:rsidR="00673B63" w:rsidRPr="00F71507">
        <w:t xml:space="preserve"> provide </w:t>
      </w:r>
      <w:r w:rsidR="004F7F35" w:rsidRPr="00F71507">
        <w:t xml:space="preserve">support that perceived relative deprivation operates as a mechanism to transmit the effects of perceived gender discrimination to </w:t>
      </w:r>
      <w:r w:rsidR="00F74532">
        <w:t>several</w:t>
      </w:r>
      <w:r w:rsidR="004F7F35" w:rsidRPr="00F71507">
        <w:t xml:space="preserve"> </w:t>
      </w:r>
      <w:r w:rsidR="00673B63" w:rsidRPr="00F71507">
        <w:t>employee outcomes</w:t>
      </w:r>
      <w:r w:rsidR="004F7F35" w:rsidRPr="00F71507">
        <w:t xml:space="preserve">. </w:t>
      </w:r>
    </w:p>
    <w:p w14:paraId="3B48D892" w14:textId="77777777" w:rsidR="007C239F" w:rsidRPr="00906FE7" w:rsidRDefault="007C239F" w:rsidP="001515D2">
      <w:pPr>
        <w:widowControl w:val="0"/>
        <w:suppressAutoHyphens w:val="0"/>
        <w:spacing w:line="480" w:lineRule="auto"/>
        <w:jc w:val="center"/>
        <w:rPr>
          <w:b/>
        </w:rPr>
      </w:pPr>
      <w:r w:rsidRPr="00AA105B">
        <w:rPr>
          <w:b/>
        </w:rPr>
        <w:t>DISCUSSION</w:t>
      </w:r>
    </w:p>
    <w:p w14:paraId="74A93EB7" w14:textId="3306F28A" w:rsidR="007C239F" w:rsidRDefault="007C239F" w:rsidP="001515D2">
      <w:pPr>
        <w:widowControl w:val="0"/>
        <w:suppressAutoHyphens w:val="0"/>
        <w:spacing w:line="480" w:lineRule="auto"/>
        <w:ind w:firstLine="720"/>
      </w:pPr>
      <w:r>
        <w:t xml:space="preserve">Using a meta-analysis of </w:t>
      </w:r>
      <w:r w:rsidR="008452A3">
        <w:t>correlations</w:t>
      </w:r>
      <w:r>
        <w:t xml:space="preserve"> from across ten countries</w:t>
      </w:r>
      <w:r w:rsidR="008452A3">
        <w:t xml:space="preserve"> and </w:t>
      </w:r>
      <w:r w:rsidR="00670C33">
        <w:t xml:space="preserve">two complementary </w:t>
      </w:r>
      <w:r w:rsidR="006E71D5">
        <w:t xml:space="preserve">empirical </w:t>
      </w:r>
      <w:r w:rsidR="00670C33">
        <w:t xml:space="preserve">studies (one </w:t>
      </w:r>
      <w:r w:rsidR="006E71D5">
        <w:t xml:space="preserve">survey </w:t>
      </w:r>
      <w:r w:rsidR="00670C33">
        <w:t>study</w:t>
      </w:r>
      <w:r w:rsidR="000C3DF4">
        <w:t xml:space="preserve"> and</w:t>
      </w:r>
      <w:r w:rsidR="00670C33">
        <w:t xml:space="preserve"> one experiment), results show</w:t>
      </w:r>
      <w:r>
        <w:t xml:space="preserve"> that perceived gender discrimination at work is negatively related to job attitudes, psychological health, physical health outcomes and behaviors, and work-related outcomes. </w:t>
      </w:r>
      <w:r w:rsidR="008452A3">
        <w:t>Across our studies</w:t>
      </w:r>
      <w:r w:rsidR="00CF7AD6">
        <w:t>,</w:t>
      </w:r>
      <w:r w:rsidR="008452A3">
        <w:t xml:space="preserve"> we also find evidence of effect sizes being stronger in countries with broader integration and stricter enforcement of gender equity in labor policy and practices.</w:t>
      </w:r>
      <w:r w:rsidR="00EB265C">
        <w:t xml:space="preserve"> The</w:t>
      </w:r>
      <w:r>
        <w:t xml:space="preserve"> meta-analytic findings suggest </w:t>
      </w:r>
      <w:r w:rsidR="00783C81">
        <w:t xml:space="preserve">that </w:t>
      </w:r>
      <w:r>
        <w:t>perceived workplace gender discrimination is more strongly (negatively) associated with physical health outcomes</w:t>
      </w:r>
      <w:r w:rsidR="008452A3">
        <w:t xml:space="preserve"> in such countries</w:t>
      </w:r>
      <w:r w:rsidR="00193DAB">
        <w:t>.</w:t>
      </w:r>
      <w:r w:rsidR="008452A3">
        <w:t xml:space="preserve"> </w:t>
      </w:r>
      <w:r w:rsidR="00EB265C">
        <w:t>The</w:t>
      </w:r>
      <w:r>
        <w:t xml:space="preserve"> </w:t>
      </w:r>
      <w:r w:rsidR="008452A3">
        <w:t xml:space="preserve">survey </w:t>
      </w:r>
      <w:r>
        <w:t xml:space="preserve">study finds evidence of effect sizes being stronger in </w:t>
      </w:r>
      <w:r w:rsidR="00193DAB">
        <w:t xml:space="preserve">such countries for </w:t>
      </w:r>
      <w:r w:rsidR="0036217C">
        <w:t>job attitudes (</w:t>
      </w:r>
      <w:r>
        <w:t>procedural justice</w:t>
      </w:r>
      <w:r w:rsidR="0036217C">
        <w:t>)</w:t>
      </w:r>
      <w:r>
        <w:t>,</w:t>
      </w:r>
      <w:r w:rsidR="0036217C">
        <w:t xml:space="preserve"> psychological health (anxiety),</w:t>
      </w:r>
      <w:r>
        <w:t xml:space="preserve"> </w:t>
      </w:r>
      <w:r w:rsidR="0036217C">
        <w:t>job-based work outcomes (</w:t>
      </w:r>
      <w:r>
        <w:t>job performance</w:t>
      </w:r>
      <w:r w:rsidR="0036217C">
        <w:t>)</w:t>
      </w:r>
      <w:r>
        <w:t xml:space="preserve">, and </w:t>
      </w:r>
      <w:r w:rsidR="0036217C">
        <w:t>relationship-based work outcomes (</w:t>
      </w:r>
      <w:r>
        <w:t>LMX</w:t>
      </w:r>
      <w:r w:rsidR="0036217C">
        <w:t>)</w:t>
      </w:r>
      <w:r>
        <w:t xml:space="preserve">. </w:t>
      </w:r>
    </w:p>
    <w:p w14:paraId="1BD7DEFB" w14:textId="642F92B3" w:rsidR="007C239F" w:rsidRDefault="008452A3" w:rsidP="001515D2">
      <w:pPr>
        <w:widowControl w:val="0"/>
        <w:suppressAutoHyphens w:val="0"/>
        <w:spacing w:line="480" w:lineRule="auto"/>
        <w:ind w:firstLine="720"/>
      </w:pPr>
      <w:r>
        <w:t xml:space="preserve">Both </w:t>
      </w:r>
      <w:r w:rsidR="008F700E">
        <w:t>the</w:t>
      </w:r>
      <w:r>
        <w:t xml:space="preserve"> </w:t>
      </w:r>
      <w:r w:rsidR="00186A74">
        <w:t xml:space="preserve">meta-analytic </w:t>
      </w:r>
      <w:r>
        <w:t xml:space="preserve">and survey </w:t>
      </w:r>
      <w:r w:rsidR="003026DE">
        <w:t xml:space="preserve">study </w:t>
      </w:r>
      <w:r w:rsidR="00186A74">
        <w:t xml:space="preserve">findings demonstrate </w:t>
      </w:r>
      <w:r w:rsidR="003026DE">
        <w:t xml:space="preserve">that </w:t>
      </w:r>
      <w:r>
        <w:t xml:space="preserve">the negative effect of perceived gender discrimination </w:t>
      </w:r>
      <w:r w:rsidR="00585070">
        <w:t>i</w:t>
      </w:r>
      <w:r>
        <w:t>s stronger</w:t>
      </w:r>
      <w:r w:rsidR="00186A74">
        <w:t xml:space="preserve"> i</w:t>
      </w:r>
      <w:r w:rsidR="007C239F">
        <w:t>n countries with more gender egalitarian national cultur</w:t>
      </w:r>
      <w:r w:rsidR="00F55A8A">
        <w:t>al</w:t>
      </w:r>
      <w:r w:rsidR="007C239F">
        <w:t xml:space="preserve"> practices</w:t>
      </w:r>
      <w:r>
        <w:t xml:space="preserve">. </w:t>
      </w:r>
      <w:r w:rsidR="00EB265C">
        <w:t>The</w:t>
      </w:r>
      <w:r>
        <w:t xml:space="preserve"> meta-analytic results demonstrated th</w:t>
      </w:r>
      <w:r w:rsidR="00585070">
        <w:t xml:space="preserve">is for </w:t>
      </w:r>
      <w:r w:rsidR="007C239F">
        <w:t xml:space="preserve">employees’ job attitudes, </w:t>
      </w:r>
      <w:r w:rsidR="007C239F">
        <w:lastRenderedPageBreak/>
        <w:t xml:space="preserve">psychological health, physical health, and job-based work outcomes. </w:t>
      </w:r>
      <w:r w:rsidR="00C06685">
        <w:t>The</w:t>
      </w:r>
      <w:r w:rsidR="007C239F">
        <w:t xml:space="preserve"> </w:t>
      </w:r>
      <w:r w:rsidR="003950E1">
        <w:t xml:space="preserve">survey </w:t>
      </w:r>
      <w:r w:rsidR="007C239F">
        <w:t>study</w:t>
      </w:r>
      <w:r w:rsidR="003950E1">
        <w:t>’s</w:t>
      </w:r>
      <w:r w:rsidR="007C239F">
        <w:t xml:space="preserve"> findings </w:t>
      </w:r>
      <w:r w:rsidR="00585070">
        <w:t>we</w:t>
      </w:r>
      <w:r w:rsidR="00186A74">
        <w:t xml:space="preserve">re consistent with </w:t>
      </w:r>
      <w:r w:rsidR="007C239F">
        <w:t>the</w:t>
      </w:r>
      <w:r w:rsidR="00186A74">
        <w:t>se</w:t>
      </w:r>
      <w:r w:rsidR="007C239F">
        <w:t xml:space="preserve"> meta-analytic findings except in the case</w:t>
      </w:r>
      <w:r w:rsidR="00186A74">
        <w:t>s</w:t>
      </w:r>
      <w:r w:rsidR="007C239F">
        <w:t xml:space="preserve"> of psychological hea</w:t>
      </w:r>
      <w:r w:rsidR="00186A74">
        <w:t>l</w:t>
      </w:r>
      <w:r w:rsidR="007C239F">
        <w:t>th</w:t>
      </w:r>
      <w:r w:rsidR="00F55A8A">
        <w:t>,</w:t>
      </w:r>
      <w:r w:rsidR="00186A74">
        <w:t xml:space="preserve"> where there was no support</w:t>
      </w:r>
      <w:r w:rsidR="00F55A8A">
        <w:t>,</w:t>
      </w:r>
      <w:r w:rsidR="00186A74">
        <w:t xml:space="preserve"> and physical health</w:t>
      </w:r>
      <w:r w:rsidR="00F55A8A">
        <w:t>,</w:t>
      </w:r>
      <w:r w:rsidR="00186A74">
        <w:t xml:space="preserve"> where the findings were opposite to th</w:t>
      </w:r>
      <w:r w:rsidR="003950E1">
        <w:t>ose</w:t>
      </w:r>
      <w:r w:rsidR="00186A74">
        <w:t xml:space="preserve"> observed in </w:t>
      </w:r>
      <w:r w:rsidR="00C06685">
        <w:t>the</w:t>
      </w:r>
      <w:r w:rsidR="00186A74">
        <w:t xml:space="preserve"> meta-analytic findings</w:t>
      </w:r>
      <w:r w:rsidR="007C239F">
        <w:t xml:space="preserve">. </w:t>
      </w:r>
      <w:r w:rsidR="00585070">
        <w:t xml:space="preserve">Additionally, </w:t>
      </w:r>
      <w:r w:rsidR="008F700E">
        <w:t>the</w:t>
      </w:r>
      <w:r w:rsidR="00585070">
        <w:t xml:space="preserve"> survey and experiment</w:t>
      </w:r>
      <w:r w:rsidR="003950E1">
        <w:t>al stud</w:t>
      </w:r>
      <w:r w:rsidR="003026DE">
        <w:t>ies</w:t>
      </w:r>
      <w:r w:rsidR="00585070">
        <w:t xml:space="preserve"> illuminate the </w:t>
      </w:r>
      <w:r w:rsidR="00670C33">
        <w:t xml:space="preserve">mediating role of </w:t>
      </w:r>
      <w:r w:rsidR="00585070">
        <w:t xml:space="preserve">relative deprivation in explaining perceived gender discrimination effects. </w:t>
      </w:r>
      <w:r w:rsidR="007C239F">
        <w:t>Overall,</w:t>
      </w:r>
      <w:r w:rsidR="0068055C">
        <w:t xml:space="preserve"> </w:t>
      </w:r>
      <w:r w:rsidR="007C239F">
        <w:t>findings support our exten</w:t>
      </w:r>
      <w:r w:rsidR="00042E80">
        <w:t>sion of</w:t>
      </w:r>
      <w:r w:rsidR="007C239F">
        <w:t xml:space="preserve"> relative deprivation </w:t>
      </w:r>
      <w:r w:rsidR="008F700E">
        <w:t xml:space="preserve">theory </w:t>
      </w:r>
      <w:r w:rsidR="007C239F">
        <w:t>to recognize the impact of societal dictates and norms on the threshold for tolerating unfair treatment. As propose</w:t>
      </w:r>
      <w:r w:rsidR="0068055C">
        <w:t>d</w:t>
      </w:r>
      <w:r w:rsidR="007C239F">
        <w:t xml:space="preserve">, national laws and cultural practices can influence </w:t>
      </w:r>
      <w:r w:rsidR="00154C78">
        <w:t xml:space="preserve">expectations for fair treatment </w:t>
      </w:r>
      <w:r w:rsidR="007C239F">
        <w:t>and impact the severity of employee outcomes of discrimination.</w:t>
      </w:r>
    </w:p>
    <w:p w14:paraId="4391F742" w14:textId="3C7C9F9F" w:rsidR="007C239F" w:rsidRDefault="00154C78" w:rsidP="001515D2">
      <w:pPr>
        <w:widowControl w:val="0"/>
        <w:suppressAutoHyphens w:val="0"/>
        <w:spacing w:line="480" w:lineRule="auto"/>
        <w:ind w:firstLine="720"/>
      </w:pPr>
      <w:r>
        <w:t>S</w:t>
      </w:r>
      <w:r w:rsidR="007C239F">
        <w:t>ome findings</w:t>
      </w:r>
      <w:r>
        <w:t xml:space="preserve"> were</w:t>
      </w:r>
      <w:r w:rsidR="007C239F">
        <w:t xml:space="preserve"> not consistent with our predictions. In the meta-analytic study, </w:t>
      </w:r>
      <w:r w:rsidR="007C239F" w:rsidRPr="00123098">
        <w:t xml:space="preserve">the </w:t>
      </w:r>
      <w:r w:rsidR="007C239F">
        <w:t>mean correlation</w:t>
      </w:r>
      <w:r w:rsidR="007C239F" w:rsidRPr="00123098">
        <w:t xml:space="preserve"> </w:t>
      </w:r>
      <w:r w:rsidR="007C239F">
        <w:t>was different</w:t>
      </w:r>
      <w:r w:rsidR="00042E80">
        <w:t xml:space="preserve"> </w:t>
      </w:r>
      <w:r w:rsidR="007C239F" w:rsidRPr="00123098">
        <w:t xml:space="preserve">between countries with high </w:t>
      </w:r>
      <w:r w:rsidR="007C239F">
        <w:t xml:space="preserve">compared to low </w:t>
      </w:r>
      <w:r w:rsidR="007C239F" w:rsidRPr="00123098">
        <w:t xml:space="preserve">labor policy integration and practice enforcement </w:t>
      </w:r>
      <w:r w:rsidR="007C239F">
        <w:t>f</w:t>
      </w:r>
      <w:r w:rsidR="007C239F" w:rsidRPr="00123098">
        <w:t xml:space="preserve">or </w:t>
      </w:r>
      <w:r w:rsidR="007C239F">
        <w:t xml:space="preserve">job attitudes, </w:t>
      </w:r>
      <w:r w:rsidR="007C239F" w:rsidRPr="00123098">
        <w:t>ps</w:t>
      </w:r>
      <w:r w:rsidR="007C239F">
        <w:t>ychological health, and job-bas</w:t>
      </w:r>
      <w:r w:rsidR="007C239F" w:rsidRPr="00123098">
        <w:t>ed</w:t>
      </w:r>
      <w:r w:rsidR="007C239F">
        <w:t xml:space="preserve"> work</w:t>
      </w:r>
      <w:r w:rsidR="007C239F" w:rsidRPr="00123098">
        <w:t xml:space="preserve"> outcomes</w:t>
      </w:r>
      <w:r w:rsidR="007C239F">
        <w:t xml:space="preserve">, but the observed difference was opposite of what </w:t>
      </w:r>
      <w:r w:rsidR="00042E80">
        <w:t>w</w:t>
      </w:r>
      <w:r w:rsidR="00A448EE">
        <w:t>as</w:t>
      </w:r>
      <w:r w:rsidR="00042E80">
        <w:t xml:space="preserve"> </w:t>
      </w:r>
      <w:r w:rsidR="007C239F">
        <w:t xml:space="preserve">hypothesized. </w:t>
      </w:r>
      <w:r w:rsidR="00670C33">
        <w:t xml:space="preserve">However, the survey study of employees from five countries provided support for </w:t>
      </w:r>
      <w:r w:rsidR="0076127A">
        <w:t>the</w:t>
      </w:r>
      <w:r w:rsidR="00670C33">
        <w:t xml:space="preserve"> moderation hypotheses with regard to these outcomes. We surmise that both findings can be true depending upon contextual factors that future research may test further. </w:t>
      </w:r>
      <w:r w:rsidR="00CD5F47">
        <w:t>Perhaps i</w:t>
      </w:r>
      <w:r w:rsidR="007C239F">
        <w:t>n countries with low labor policy integration and practice enforcement</w:t>
      </w:r>
      <w:r w:rsidR="00670C33">
        <w:t>, employees have little recourse to combat discrimination</w:t>
      </w:r>
      <w:r w:rsidR="00CD5F47">
        <w:t>,</w:t>
      </w:r>
      <w:r w:rsidR="00654B52">
        <w:t xml:space="preserve"> which </w:t>
      </w:r>
      <w:r w:rsidR="00CD5F47">
        <w:t xml:space="preserve">can </w:t>
      </w:r>
      <w:r w:rsidR="00654B52">
        <w:t>make outcomes more serious</w:t>
      </w:r>
      <w:r w:rsidR="00CD5F47">
        <w:t xml:space="preserve"> than i</w:t>
      </w:r>
      <w:r w:rsidR="00670C33">
        <w:t>n</w:t>
      </w:r>
      <w:r w:rsidR="007C239F">
        <w:t xml:space="preserve"> countries with high labor policy integration and practice enforcement</w:t>
      </w:r>
      <w:r w:rsidR="00073A5C">
        <w:t>,</w:t>
      </w:r>
      <w:r w:rsidR="00CD5F47">
        <w:t xml:space="preserve"> where </w:t>
      </w:r>
      <w:r w:rsidR="00670C33">
        <w:t>employees have more protections</w:t>
      </w:r>
      <w:r w:rsidR="007C239F" w:rsidRPr="00123098">
        <w:t xml:space="preserve">. </w:t>
      </w:r>
    </w:p>
    <w:p w14:paraId="51C78208" w14:textId="77777777" w:rsidR="007C239F" w:rsidRPr="00EB6B7C" w:rsidRDefault="007C239F" w:rsidP="007958F7">
      <w:pPr>
        <w:widowControl w:val="0"/>
        <w:suppressAutoHyphens w:val="0"/>
        <w:spacing w:line="480" w:lineRule="auto"/>
        <w:rPr>
          <w:b/>
        </w:rPr>
      </w:pPr>
      <w:r w:rsidRPr="00EB6B7C">
        <w:rPr>
          <w:b/>
        </w:rPr>
        <w:t xml:space="preserve">Theoretical </w:t>
      </w:r>
      <w:r w:rsidR="00AE01C9">
        <w:rPr>
          <w:b/>
        </w:rPr>
        <w:t xml:space="preserve">and Practical </w:t>
      </w:r>
      <w:r w:rsidRPr="00EB6B7C">
        <w:rPr>
          <w:b/>
        </w:rPr>
        <w:t>Implications</w:t>
      </w:r>
    </w:p>
    <w:p w14:paraId="6DD44BB0" w14:textId="19410BC7" w:rsidR="007C239F" w:rsidRDefault="007C239F" w:rsidP="007958F7">
      <w:pPr>
        <w:widowControl w:val="0"/>
        <w:suppressAutoHyphens w:val="0"/>
        <w:spacing w:line="480" w:lineRule="auto"/>
        <w:ind w:firstLine="720"/>
      </w:pPr>
      <w:r>
        <w:t xml:space="preserve">Our findings have implications for relative deprivation theory (Crosby, 1976). The findings largely suggest that the severity of employees’ reactions to perceived workplace gender discrimination can be influenced by national labor policies and practices on gender equity and by </w:t>
      </w:r>
      <w:r w:rsidR="00F021F8">
        <w:lastRenderedPageBreak/>
        <w:t xml:space="preserve">the </w:t>
      </w:r>
      <w:r>
        <w:t xml:space="preserve">national cultural norm of gender egalitarianism. These are consistent with </w:t>
      </w:r>
      <w:bookmarkStart w:id="4" w:name="OLE_LINK5"/>
      <w:bookmarkStart w:id="5" w:name="OLE_LINK6"/>
      <w:r>
        <w:t xml:space="preserve">Crosby’s (1976) identification of societal dictates and norms that exist outside of organizational boundaries as </w:t>
      </w:r>
      <w:r w:rsidR="00B16DE7">
        <w:t xml:space="preserve">a </w:t>
      </w:r>
      <w:r>
        <w:t xml:space="preserve">potential </w:t>
      </w:r>
      <w:r w:rsidR="00442EFE">
        <w:t>determinant of</w:t>
      </w:r>
      <w:r>
        <w:t xml:space="preserve"> one’s reactions when deprived of fair treatment. Overall, </w:t>
      </w:r>
      <w:r w:rsidR="003C6566">
        <w:t>the</w:t>
      </w:r>
      <w:r>
        <w:t xml:space="preserve"> findings suggest that employees in countries that broadly integrate and stringently enforce gender-equitable labor policies and practices, or are higher in gender egalitarianism national cultural practices, react more negatively to perceived gender discrimination in the workplace. </w:t>
      </w:r>
      <w:r w:rsidR="00EE3848">
        <w:t>The</w:t>
      </w:r>
      <w:r w:rsidR="00531ADE">
        <w:t xml:space="preserve"> complementary</w:t>
      </w:r>
      <w:r>
        <w:t xml:space="preserve"> stud</w:t>
      </w:r>
      <w:r w:rsidR="00531ADE">
        <w:t>ies provide evidence</w:t>
      </w:r>
      <w:r>
        <w:t xml:space="preserve"> that this is because of a greater sense of depri</w:t>
      </w:r>
      <w:r w:rsidR="007958F7">
        <w:t>vation</w:t>
      </w:r>
      <w:r>
        <w:t>.</w:t>
      </w:r>
    </w:p>
    <w:p w14:paraId="04689687" w14:textId="77777777" w:rsidR="007C239F" w:rsidRDefault="00471C83" w:rsidP="007958F7">
      <w:pPr>
        <w:widowControl w:val="0"/>
        <w:suppressAutoHyphens w:val="0"/>
        <w:spacing w:line="480" w:lineRule="auto"/>
        <w:ind w:firstLine="720"/>
      </w:pPr>
      <w:r>
        <w:t>This</w:t>
      </w:r>
      <w:r w:rsidR="00F021F8" w:rsidRPr="00771350">
        <w:t xml:space="preserve"> </w:t>
      </w:r>
      <w:r w:rsidR="007C239F">
        <w:t>investigation</w:t>
      </w:r>
      <w:r w:rsidR="007C239F" w:rsidRPr="00771350">
        <w:t xml:space="preserve"> also helps clarify </w:t>
      </w:r>
      <w:r w:rsidR="007C239F">
        <w:t>context</w:t>
      </w:r>
      <w:r w:rsidR="00442EFE">
        <w:t>s</w:t>
      </w:r>
      <w:r w:rsidR="007C239F">
        <w:t xml:space="preserve"> in which</w:t>
      </w:r>
      <w:r w:rsidR="007C239F" w:rsidRPr="00AE79F9">
        <w:t xml:space="preserve"> </w:t>
      </w:r>
      <w:r w:rsidR="007C239F" w:rsidRPr="00771350">
        <w:t xml:space="preserve">people </w:t>
      </w:r>
      <w:r w:rsidR="00442EFE">
        <w:t xml:space="preserve">may not </w:t>
      </w:r>
      <w:r w:rsidR="007C239F">
        <w:t>acknowledge personal deprivation</w:t>
      </w:r>
      <w:r w:rsidR="007C239F" w:rsidRPr="00771350">
        <w:t xml:space="preserve">. </w:t>
      </w:r>
      <w:r w:rsidR="007C239F">
        <w:t>R</w:t>
      </w:r>
      <w:r w:rsidR="007C239F" w:rsidRPr="00771350">
        <w:t xml:space="preserve">esearchers have </w:t>
      </w:r>
      <w:r w:rsidR="007C239F">
        <w:t>not</w:t>
      </w:r>
      <w:r w:rsidR="007C239F" w:rsidRPr="00771350">
        <w:t xml:space="preserve">ed that </w:t>
      </w:r>
      <w:r w:rsidR="007C239F">
        <w:t>some employees</w:t>
      </w:r>
      <w:r w:rsidR="007C239F" w:rsidRPr="00771350">
        <w:t xml:space="preserve"> </w:t>
      </w:r>
      <w:r w:rsidR="007C239F">
        <w:t xml:space="preserve">may </w:t>
      </w:r>
      <w:r w:rsidR="007C239F" w:rsidRPr="00771350">
        <w:t xml:space="preserve">see discrimination toward their social group but not themselves. Crosby (1984) </w:t>
      </w:r>
      <w:r w:rsidR="007C239F">
        <w:t>first</w:t>
      </w:r>
      <w:r w:rsidR="007C239F" w:rsidRPr="00771350">
        <w:t xml:space="preserve"> report</w:t>
      </w:r>
      <w:r w:rsidR="007C239F">
        <w:t>ed</w:t>
      </w:r>
      <w:r w:rsidR="007C239F" w:rsidRPr="00771350">
        <w:t xml:space="preserve"> this effect </w:t>
      </w:r>
      <w:r w:rsidR="007C239F">
        <w:t>among female employees</w:t>
      </w:r>
      <w:r w:rsidR="007C239F" w:rsidRPr="00771350">
        <w:t xml:space="preserve"> who were underpaid relative to comparable male </w:t>
      </w:r>
      <w:r w:rsidR="007C239F">
        <w:t>peers</w:t>
      </w:r>
      <w:r w:rsidR="007C239F" w:rsidRPr="00771350">
        <w:t xml:space="preserve"> at the same company. </w:t>
      </w:r>
      <w:r w:rsidR="007C239F">
        <w:t>Although</w:t>
      </w:r>
      <w:r w:rsidR="007C239F" w:rsidRPr="00771350">
        <w:t xml:space="preserve"> the women reported that </w:t>
      </w:r>
      <w:r w:rsidR="007C239F">
        <w:t>gender</w:t>
      </w:r>
      <w:r w:rsidR="007C239F" w:rsidRPr="00771350">
        <w:t xml:space="preserve"> discrimination was a </w:t>
      </w:r>
      <w:r w:rsidR="007C239F">
        <w:t>major</w:t>
      </w:r>
      <w:r w:rsidR="007C239F" w:rsidRPr="00771350">
        <w:t xml:space="preserve"> </w:t>
      </w:r>
      <w:r w:rsidR="007C239F">
        <w:t>concern for</w:t>
      </w:r>
      <w:r w:rsidR="007C239F" w:rsidRPr="00771350">
        <w:t xml:space="preserve"> working women, Crosby (1984</w:t>
      </w:r>
      <w:r w:rsidR="007C239F">
        <w:t xml:space="preserve">: </w:t>
      </w:r>
      <w:r w:rsidR="007C239F" w:rsidRPr="00771350">
        <w:t xml:space="preserve">75) </w:t>
      </w:r>
      <w:r w:rsidR="007C239F">
        <w:t>noted</w:t>
      </w:r>
      <w:r w:rsidR="007C239F" w:rsidRPr="00771350">
        <w:t xml:space="preserve"> that “employed women in the study had virtually no sense of personal grievance.” This phenomenon</w:t>
      </w:r>
      <w:r w:rsidR="00A547EA">
        <w:t xml:space="preserve"> is</w:t>
      </w:r>
      <w:r w:rsidR="007C239F" w:rsidRPr="00771350">
        <w:t xml:space="preserve"> </w:t>
      </w:r>
      <w:r w:rsidR="007C239F">
        <w:t>calle</w:t>
      </w:r>
      <w:r w:rsidR="007C239F" w:rsidRPr="00771350">
        <w:t xml:space="preserve">d the “personal/group discrimination discrepancy” (Taylor, Wright, Moghaddam, &amp; Lalonde, 1990). Researchers suggested that employees who feel discriminated against protect their self-esteem by denying their mistreatment </w:t>
      </w:r>
      <w:r w:rsidR="007C239F">
        <w:t xml:space="preserve">– nevertheless, the effects of the discrimination are real </w:t>
      </w:r>
      <w:r w:rsidR="007C239F" w:rsidRPr="00771350">
        <w:t xml:space="preserve">(Crosby, 1984; Taylor et al., 1990). </w:t>
      </w:r>
      <w:r w:rsidR="007C239F">
        <w:t>Our findings suggest that in countries with high gender-equitable labor policy integration and labor practice enforcement and higher gender egalitarianism, people feel more entitled to fair treatment and have stronger negative reactions to gender discrimination. By contrast, in countries</w:t>
      </w:r>
      <w:r w:rsidR="00A67E61">
        <w:t xml:space="preserve"> where that is not the case</w:t>
      </w:r>
      <w:r w:rsidR="007C239F">
        <w:t xml:space="preserve">, acknowledging gender discrimination toward oneself can damage one’s self-esteem and work motivation, thereby making the personal/group discrimination discrepancy more likely. </w:t>
      </w:r>
    </w:p>
    <w:bookmarkEnd w:id="4"/>
    <w:bookmarkEnd w:id="5"/>
    <w:p w14:paraId="3B63689F" w14:textId="0E962A34" w:rsidR="00C16987" w:rsidRPr="00797D71" w:rsidRDefault="00C16987" w:rsidP="00AE01C9">
      <w:pPr>
        <w:widowControl w:val="0"/>
        <w:suppressAutoHyphens w:val="0"/>
        <w:spacing w:line="480" w:lineRule="auto"/>
        <w:ind w:firstLine="720"/>
      </w:pPr>
      <w:r>
        <w:t xml:space="preserve">In addition to the aforementioned theoretical implications, </w:t>
      </w:r>
      <w:r w:rsidR="00073A5C">
        <w:t>this</w:t>
      </w:r>
      <w:r>
        <w:t xml:space="preserve"> article offers a numbe</w:t>
      </w:r>
      <w:r w:rsidR="00531ADE">
        <w:t xml:space="preserve">r of </w:t>
      </w:r>
      <w:r w:rsidR="00531ADE">
        <w:lastRenderedPageBreak/>
        <w:t xml:space="preserve">practical implications. </w:t>
      </w:r>
      <w:r w:rsidR="00073A5C">
        <w:t>The</w:t>
      </w:r>
      <w:r>
        <w:t xml:space="preserve"> meta-analytic results show that gender discrimination adversely affects employees</w:t>
      </w:r>
      <w:r w:rsidR="009102FA">
        <w:t xml:space="preserve"> (men and women alike) across the world</w:t>
      </w:r>
      <w:r>
        <w:t>.</w:t>
      </w:r>
      <w:r w:rsidR="009102FA">
        <w:t xml:space="preserve"> </w:t>
      </w:r>
      <w:r w:rsidR="00AA45D5">
        <w:t>Thus, reducing gender inequities and preventing gender discrimination from occurring should be on the agenda of country</w:t>
      </w:r>
      <w:r w:rsidR="00CA4106">
        <w:t xml:space="preserve"> leaders. </w:t>
      </w:r>
      <w:r w:rsidR="009102FA">
        <w:t>While progress has been made in terms of countries adding or strengthening legal protections</w:t>
      </w:r>
      <w:r w:rsidR="00AF1305">
        <w:t xml:space="preserve"> around gender discrimination</w:t>
      </w:r>
      <w:r w:rsidR="009102FA">
        <w:t xml:space="preserve">, 24 out of 193 United Nations member countries do not have </w:t>
      </w:r>
      <w:r w:rsidR="009102FA">
        <w:rPr>
          <w:i/>
        </w:rPr>
        <w:t>any</w:t>
      </w:r>
      <w:r w:rsidR="009102FA">
        <w:t xml:space="preserve"> legal protections against gender-based discrimination in compensation,</w:t>
      </w:r>
      <w:r w:rsidR="00531ADE">
        <w:t xml:space="preserve"> vocational training, or</w:t>
      </w:r>
      <w:r w:rsidR="009102FA">
        <w:t xml:space="preserve"> promotions/demotions at work (</w:t>
      </w:r>
      <w:r w:rsidR="0051465A">
        <w:t>World Policy Analysis Center, 2017</w:t>
      </w:r>
      <w:r w:rsidR="009102FA">
        <w:t xml:space="preserve">). </w:t>
      </w:r>
      <w:r w:rsidR="00F71BD0">
        <w:t>The</w:t>
      </w:r>
      <w:r w:rsidR="009102FA">
        <w:t xml:space="preserve"> findings highlight the importance of continued country-efforts to </w:t>
      </w:r>
      <w:r w:rsidR="00F71BD0">
        <w:t xml:space="preserve">add, </w:t>
      </w:r>
      <w:r w:rsidR="009102FA">
        <w:t>strengthen</w:t>
      </w:r>
      <w:r w:rsidR="00F71BD0">
        <w:t>,</w:t>
      </w:r>
      <w:r w:rsidR="009102FA">
        <w:t xml:space="preserve"> </w:t>
      </w:r>
      <w:r w:rsidR="00FF5523">
        <w:t xml:space="preserve">and enforce </w:t>
      </w:r>
      <w:r w:rsidR="009102FA">
        <w:t xml:space="preserve">laws to ensure a fair </w:t>
      </w:r>
      <w:r w:rsidR="00F71BD0">
        <w:t>w</w:t>
      </w:r>
      <w:r w:rsidR="009102FA">
        <w:t xml:space="preserve">ork environment for all and </w:t>
      </w:r>
      <w:r w:rsidR="00F71BD0">
        <w:t xml:space="preserve">to </w:t>
      </w:r>
      <w:r w:rsidR="009102FA">
        <w:t xml:space="preserve">provide legal recourse when gender discrimination does occur. </w:t>
      </w:r>
    </w:p>
    <w:p w14:paraId="6FB182B6" w14:textId="63164DD5" w:rsidR="006054D3" w:rsidRDefault="009102FA" w:rsidP="00797D71">
      <w:pPr>
        <w:widowControl w:val="0"/>
        <w:suppressAutoHyphens w:val="0"/>
        <w:spacing w:line="480" w:lineRule="auto"/>
        <w:ind w:firstLine="720"/>
      </w:pPr>
      <w:r>
        <w:t>Additionally, p</w:t>
      </w:r>
      <w:r w:rsidR="006120F9">
        <w:t>oor</w:t>
      </w:r>
      <w:r w:rsidR="007C239F">
        <w:t xml:space="preserve"> </w:t>
      </w:r>
      <w:r>
        <w:t xml:space="preserve">employee </w:t>
      </w:r>
      <w:r w:rsidR="007C239F">
        <w:t xml:space="preserve">job attitudes and health </w:t>
      </w:r>
      <w:r w:rsidR="006120F9">
        <w:t>can impede firm success, given the</w:t>
      </w:r>
      <w:r>
        <w:t>se variables</w:t>
      </w:r>
      <w:r w:rsidR="00CA4106">
        <w:t>’</w:t>
      </w:r>
      <w:r w:rsidR="006120F9">
        <w:t xml:space="preserve"> association</w:t>
      </w:r>
      <w:r w:rsidR="00CA4106">
        <w:t>s</w:t>
      </w:r>
      <w:r w:rsidR="006120F9">
        <w:t xml:space="preserve"> with</w:t>
      </w:r>
      <w:r w:rsidR="007C239F">
        <w:t xml:space="preserve"> increase</w:t>
      </w:r>
      <w:r w:rsidR="006120F9">
        <w:t>d</w:t>
      </w:r>
      <w:r w:rsidR="007C239F">
        <w:t xml:space="preserve"> job withdrawal (Lehman &amp; Simpson, 1992) and reduce</w:t>
      </w:r>
      <w:r w:rsidR="006120F9">
        <w:t>d</w:t>
      </w:r>
      <w:r w:rsidR="007C239F">
        <w:t xml:space="preserve"> effort (</w:t>
      </w:r>
      <w:proofErr w:type="spellStart"/>
      <w:r w:rsidR="007C239F">
        <w:t>Koslowsky</w:t>
      </w:r>
      <w:proofErr w:type="spellEnd"/>
      <w:r w:rsidR="007C239F">
        <w:t>, 2009). Further, p</w:t>
      </w:r>
      <w:r w:rsidR="007C239F" w:rsidRPr="00771350">
        <w:t xml:space="preserve">hysical symptoms </w:t>
      </w:r>
      <w:r w:rsidR="007C239F">
        <w:t xml:space="preserve">have been linked to </w:t>
      </w:r>
      <w:r w:rsidR="00A547EA">
        <w:t>less</w:t>
      </w:r>
      <w:r w:rsidR="007C239F">
        <w:t xml:space="preserve"> productivity and </w:t>
      </w:r>
      <w:r w:rsidR="00A547EA">
        <w:t>more</w:t>
      </w:r>
      <w:r w:rsidR="007C239F">
        <w:t xml:space="preserve"> abs</w:t>
      </w:r>
      <w:r w:rsidR="007C239F" w:rsidRPr="00771350">
        <w:t>enteeism (Boyd, 1997).</w:t>
      </w:r>
      <w:r w:rsidR="007C239F">
        <w:t xml:space="preserve"> </w:t>
      </w:r>
      <w:r w:rsidR="00CA4106">
        <w:t xml:space="preserve">Because </w:t>
      </w:r>
      <w:r w:rsidR="007C239F">
        <w:t xml:space="preserve">perceived gender discrimination </w:t>
      </w:r>
      <w:r w:rsidR="00322BD8">
        <w:t xml:space="preserve">at work </w:t>
      </w:r>
      <w:r w:rsidR="007C239F">
        <w:t xml:space="preserve">has </w:t>
      </w:r>
      <w:r w:rsidR="00CA4106">
        <w:t xml:space="preserve">a </w:t>
      </w:r>
      <w:r w:rsidR="007C239F">
        <w:t xml:space="preserve">human </w:t>
      </w:r>
      <w:r w:rsidR="00322BD8">
        <w:t>an</w:t>
      </w:r>
      <w:r w:rsidR="00A547EA">
        <w:t>d</w:t>
      </w:r>
      <w:r w:rsidR="007C239F">
        <w:t xml:space="preserve"> economic toll</w:t>
      </w:r>
      <w:r w:rsidR="00FF5523">
        <w:t xml:space="preserve">, </w:t>
      </w:r>
      <w:r w:rsidR="00A547EA">
        <w:t xml:space="preserve">organizations </w:t>
      </w:r>
      <w:r w:rsidR="00FF5523">
        <w:t>should have and enforce policies that promote gender equality and protect against gender discrimination</w:t>
      </w:r>
      <w:r w:rsidR="00CA4106">
        <w:t xml:space="preserve"> to prevent it from occurring</w:t>
      </w:r>
      <w:r w:rsidR="007C239F">
        <w:t>.</w:t>
      </w:r>
      <w:r w:rsidR="00FF5523">
        <w:t xml:space="preserve"> For example,</w:t>
      </w:r>
      <w:r w:rsidR="00181C6B">
        <w:t xml:space="preserve"> </w:t>
      </w:r>
      <w:r w:rsidR="00FF5523">
        <w:t xml:space="preserve">experiences of gender discrimination are lower in companies with more family-friendly </w:t>
      </w:r>
      <w:r w:rsidR="00181C6B">
        <w:t xml:space="preserve">policies and </w:t>
      </w:r>
      <w:r w:rsidR="002A4E15">
        <w:t xml:space="preserve">a higher percentage of </w:t>
      </w:r>
      <w:r w:rsidR="00411247">
        <w:t>women</w:t>
      </w:r>
      <w:r w:rsidR="002A4E15">
        <w:t xml:space="preserve"> in the workforce</w:t>
      </w:r>
      <w:r w:rsidR="00181C6B">
        <w:t xml:space="preserve"> (</w:t>
      </w:r>
      <w:r w:rsidR="00FF5523" w:rsidRPr="00A3658C">
        <w:t xml:space="preserve">Kim, Longacre, </w:t>
      </w:r>
      <w:r w:rsidR="00181C6B" w:rsidRPr="00113868">
        <w:t>&amp;</w:t>
      </w:r>
      <w:r w:rsidR="00FF5523" w:rsidRPr="00A3658C">
        <w:t xml:space="preserve"> Werner</w:t>
      </w:r>
      <w:r w:rsidR="00181C6B" w:rsidRPr="00113868">
        <w:t xml:space="preserve">, </w:t>
      </w:r>
      <w:r w:rsidR="00FF5523" w:rsidRPr="00A3658C">
        <w:t>2016)</w:t>
      </w:r>
      <w:r w:rsidR="001D518F" w:rsidRPr="00A3658C">
        <w:t>.</w:t>
      </w:r>
      <w:r w:rsidR="001D518F">
        <w:t xml:space="preserve"> Employers can also train managers (and all workers) on the impact of gender biases in the workplace because they often lead to </w:t>
      </w:r>
      <w:r w:rsidR="001D518F" w:rsidRPr="00965AC2">
        <w:t>discriminatory behavior toward women as well as men</w:t>
      </w:r>
      <w:r w:rsidR="001D518F">
        <w:t>. S</w:t>
      </w:r>
      <w:r w:rsidR="001D518F" w:rsidRPr="00BA445A">
        <w:t xml:space="preserve">topping these biases requires </w:t>
      </w:r>
      <w:r w:rsidR="0092654D">
        <w:t xml:space="preserve">making people </w:t>
      </w:r>
      <w:r w:rsidR="001D518F" w:rsidRPr="00BA445A">
        <w:t>conscious</w:t>
      </w:r>
      <w:r w:rsidR="0092654D">
        <w:t>ly</w:t>
      </w:r>
      <w:r w:rsidR="001D518F" w:rsidRPr="00BA445A">
        <w:t xml:space="preserve"> aware</w:t>
      </w:r>
      <w:r w:rsidR="0092654D">
        <w:t xml:space="preserve"> of them</w:t>
      </w:r>
      <w:r w:rsidR="00394194">
        <w:t>,</w:t>
      </w:r>
      <w:r w:rsidR="0092654D">
        <w:t xml:space="preserve"> because when people are not</w:t>
      </w:r>
      <w:r w:rsidR="00394194">
        <w:t>,</w:t>
      </w:r>
      <w:r w:rsidR="0092654D">
        <w:t xml:space="preserve"> they are more likely to discriminate (e.g., </w:t>
      </w:r>
      <w:proofErr w:type="spellStart"/>
      <w:r w:rsidR="001D518F" w:rsidRPr="00BA445A">
        <w:t>Nosek</w:t>
      </w:r>
      <w:proofErr w:type="spellEnd"/>
      <w:r w:rsidR="001D518F" w:rsidRPr="00BA445A">
        <w:t xml:space="preserve"> et al.</w:t>
      </w:r>
      <w:r w:rsidR="0092654D">
        <w:t>, 2007</w:t>
      </w:r>
      <w:r w:rsidR="001D518F">
        <w:t>, report</w:t>
      </w:r>
      <w:r w:rsidR="001D518F" w:rsidRPr="00BA445A">
        <w:t xml:space="preserve"> that 76</w:t>
      </w:r>
      <w:r w:rsidR="001D518F">
        <w:t xml:space="preserve"> percent </w:t>
      </w:r>
      <w:r w:rsidR="001D518F" w:rsidRPr="00BA445A">
        <w:t>of participants taking the implicit association test of subco</w:t>
      </w:r>
      <w:r w:rsidR="001D518F">
        <w:t>nscious bias more rapidly</w:t>
      </w:r>
      <w:r w:rsidR="001D518F" w:rsidRPr="00BA445A">
        <w:t xml:space="preserve"> associated males with careers and females with family</w:t>
      </w:r>
      <w:r w:rsidR="001D518F">
        <w:t>, which disadvantages women at work</w:t>
      </w:r>
      <w:r w:rsidR="0092654D">
        <w:t>)</w:t>
      </w:r>
      <w:r w:rsidR="001D518F" w:rsidRPr="00BA445A">
        <w:t>.</w:t>
      </w:r>
    </w:p>
    <w:p w14:paraId="07F06FFD" w14:textId="77777777" w:rsidR="001D518F" w:rsidRDefault="006054D3" w:rsidP="00797D71">
      <w:pPr>
        <w:widowControl w:val="0"/>
        <w:suppressAutoHyphens w:val="0"/>
        <w:spacing w:line="480" w:lineRule="auto"/>
        <w:ind w:firstLine="720"/>
      </w:pPr>
      <w:r>
        <w:lastRenderedPageBreak/>
        <w:t xml:space="preserve">Organizations must effectively address gender discrimination when it is alleged to help reduce its adverse effects. This not only entails a </w:t>
      </w:r>
      <w:r w:rsidR="00ED6BB7">
        <w:t>robust</w:t>
      </w:r>
      <w:r>
        <w:t xml:space="preserve"> grievance procedure with a thorough and transparent investigation of the alleged discrimination and an established process for resolving workplace issues, but also the ability to treat the employee claiming discrimination with respect and compassion. Employers would also be well-served to ensure that the victims of gender discrimination have access to employee assistance programs that can help them cope with the stress of the alleged act (e.g., supportive counseling, re-crediting any leave taken in response to the discrimination, and assistance in job transfer requests). Employees are less likely to take legal action if they perceive that the discrimination claim is taken seriously (Guerin, 2016). </w:t>
      </w:r>
      <w:r w:rsidR="001D518F" w:rsidRPr="00BA445A">
        <w:t xml:space="preserve"> </w:t>
      </w:r>
    </w:p>
    <w:p w14:paraId="2E04F7BB" w14:textId="77777777" w:rsidR="007C239F" w:rsidRDefault="00ED6BB7" w:rsidP="007958F7">
      <w:pPr>
        <w:widowControl w:val="0"/>
        <w:suppressAutoHyphens w:val="0"/>
        <w:spacing w:line="480" w:lineRule="auto"/>
        <w:ind w:firstLine="720"/>
      </w:pPr>
      <w:r>
        <w:t>O</w:t>
      </w:r>
      <w:r w:rsidR="007C239F">
        <w:t>ur finding</w:t>
      </w:r>
      <w:r w:rsidR="00364A01">
        <w:t xml:space="preserve"> – </w:t>
      </w:r>
      <w:r w:rsidR="00B96925">
        <w:t xml:space="preserve">that </w:t>
      </w:r>
      <w:r w:rsidR="00364A01">
        <w:t xml:space="preserve">the severity of </w:t>
      </w:r>
      <w:r w:rsidR="007C239F">
        <w:t>employee outcomes of perceived gender discrimination var</w:t>
      </w:r>
      <w:r w:rsidR="00364A01">
        <w:t>ies</w:t>
      </w:r>
      <w:r w:rsidR="007C239F">
        <w:t xml:space="preserve"> according to the country context</w:t>
      </w:r>
      <w:r w:rsidR="00364A01">
        <w:t xml:space="preserve"> – </w:t>
      </w:r>
      <w:r>
        <w:t xml:space="preserve">also </w:t>
      </w:r>
      <w:r w:rsidR="00364A01">
        <w:t>has</w:t>
      </w:r>
      <w:r w:rsidR="007C239F">
        <w:t xml:space="preserve"> important implications</w:t>
      </w:r>
      <w:r w:rsidR="00CA2062">
        <w:t xml:space="preserve"> for managers</w:t>
      </w:r>
      <w:r w:rsidR="00181C6B">
        <w:t>, particularly those</w:t>
      </w:r>
      <w:r w:rsidR="00CA2062">
        <w:t xml:space="preserve"> in</w:t>
      </w:r>
      <w:r w:rsidR="007C239F">
        <w:t xml:space="preserve"> multi-national organizations. </w:t>
      </w:r>
      <w:r w:rsidR="00181C6B">
        <w:t>I</w:t>
      </w:r>
      <w:r w:rsidR="007C239F">
        <w:t xml:space="preserve">n countries where gender equity is more broadly integrated into labor laws or is more </w:t>
      </w:r>
      <w:r w:rsidR="00B16DE7">
        <w:t xml:space="preserve">stringently </w:t>
      </w:r>
      <w:r w:rsidR="007C239F">
        <w:t xml:space="preserve">enforced and gender egalitarianism is emphasized, </w:t>
      </w:r>
      <w:r w:rsidR="00BE2771">
        <w:t>th</w:t>
      </w:r>
      <w:r w:rsidR="007C239F">
        <w:t xml:space="preserve">e </w:t>
      </w:r>
      <w:r w:rsidR="00B96925">
        <w:t xml:space="preserve">magnitude of </w:t>
      </w:r>
      <w:r w:rsidR="00181C6B">
        <w:t xml:space="preserve">gender discrimination’s </w:t>
      </w:r>
      <w:r w:rsidR="007C239F">
        <w:t xml:space="preserve">consequences </w:t>
      </w:r>
      <w:r w:rsidR="0041289B">
        <w:t>is likely</w:t>
      </w:r>
      <w:r w:rsidR="007C239F">
        <w:t xml:space="preserve"> stronger</w:t>
      </w:r>
      <w:r w:rsidR="0092654D">
        <w:t xml:space="preserve"> because of greater expectations of fair and equitable treatment at work</w:t>
      </w:r>
      <w:r w:rsidR="007C239F">
        <w:t xml:space="preserve">. </w:t>
      </w:r>
      <w:r w:rsidR="00B96925">
        <w:t xml:space="preserve">This is contrary to popular beliefs by decision-makers in multi-national companies on the comparably lower risks associated with investments in </w:t>
      </w:r>
      <w:r w:rsidR="00CA4106">
        <w:t xml:space="preserve">such </w:t>
      </w:r>
      <w:r w:rsidR="00B96925">
        <w:t xml:space="preserve">countries. </w:t>
      </w:r>
      <w:r w:rsidR="00A83D87">
        <w:t>Thus, while investing in such countries may help firm</w:t>
      </w:r>
      <w:r w:rsidR="00CA4106">
        <w:t>s</w:t>
      </w:r>
      <w:r w:rsidR="00A83D87">
        <w:t xml:space="preserve"> </w:t>
      </w:r>
      <w:r w:rsidR="00564AB8">
        <w:t>circumvent</w:t>
      </w:r>
      <w:r w:rsidR="00A83D87">
        <w:t xml:space="preserve"> gender discriminati</w:t>
      </w:r>
      <w:r w:rsidR="00CA4106">
        <w:t>on</w:t>
      </w:r>
      <w:r w:rsidR="00A83D87">
        <w:t xml:space="preserve">, </w:t>
      </w:r>
      <w:r w:rsidR="00CA4106">
        <w:t>they</w:t>
      </w:r>
      <w:r w:rsidR="00A83D87">
        <w:t xml:space="preserve"> must </w:t>
      </w:r>
      <w:r w:rsidR="00564AB8">
        <w:t xml:space="preserve">recognize </w:t>
      </w:r>
      <w:r w:rsidR="008E6A4F">
        <w:t xml:space="preserve">that </w:t>
      </w:r>
      <w:r w:rsidR="00564AB8">
        <w:t xml:space="preserve">employees </w:t>
      </w:r>
      <w:r w:rsidR="0092654D">
        <w:t xml:space="preserve">in </w:t>
      </w:r>
      <w:r w:rsidR="0041289B">
        <w:t>these countries</w:t>
      </w:r>
      <w:r w:rsidR="0092654D">
        <w:t xml:space="preserve"> </w:t>
      </w:r>
      <w:r w:rsidR="00A547EA">
        <w:t>can</w:t>
      </w:r>
      <w:r w:rsidR="00564AB8">
        <w:t xml:space="preserve"> have stronger reactions</w:t>
      </w:r>
      <w:r w:rsidR="00CA4106">
        <w:t xml:space="preserve"> (e.g., feelings of relative deprivation)</w:t>
      </w:r>
      <w:r w:rsidR="00564AB8">
        <w:t xml:space="preserve"> to gender discrimination when it occurs</w:t>
      </w:r>
      <w:r w:rsidR="00267935">
        <w:t>. Therefore,</w:t>
      </w:r>
      <w:r w:rsidR="00B34312">
        <w:t xml:space="preserve"> rather than relying on generic business strategies for gender equality,</w:t>
      </w:r>
      <w:r w:rsidR="00267935">
        <w:t xml:space="preserve"> </w:t>
      </w:r>
      <w:r w:rsidR="0092654D">
        <w:t>these companies must</w:t>
      </w:r>
      <w:r w:rsidR="00DA3C4F">
        <w:t xml:space="preserve"> </w:t>
      </w:r>
      <w:r w:rsidR="00267935">
        <w:t xml:space="preserve">implement </w:t>
      </w:r>
      <w:r w:rsidR="00B34312">
        <w:t>p</w:t>
      </w:r>
      <w:r w:rsidR="00267935">
        <w:t xml:space="preserve">olicies and practices </w:t>
      </w:r>
      <w:r w:rsidR="00B34312">
        <w:t xml:space="preserve">that are specific to the cultural context </w:t>
      </w:r>
      <w:r w:rsidR="00267935">
        <w:t>to</w:t>
      </w:r>
      <w:r w:rsidR="00B34312">
        <w:t xml:space="preserve"> mitigate</w:t>
      </w:r>
      <w:r w:rsidR="006847F4">
        <w:t xml:space="preserve"> the</w:t>
      </w:r>
      <w:r w:rsidR="00B34312">
        <w:t xml:space="preserve"> </w:t>
      </w:r>
      <w:r w:rsidR="006054D3">
        <w:t>potentially</w:t>
      </w:r>
      <w:r w:rsidR="00B34312">
        <w:t xml:space="preserve"> stronger</w:t>
      </w:r>
      <w:r w:rsidR="008E6A4F">
        <w:t xml:space="preserve"> negative reactions to</w:t>
      </w:r>
      <w:r w:rsidR="00267935">
        <w:t xml:space="preserve"> gender discrimination</w:t>
      </w:r>
      <w:r w:rsidR="00564AB8">
        <w:t>.</w:t>
      </w:r>
      <w:r w:rsidR="006054D3">
        <w:t xml:space="preserve"> For instance, companies must not only ensure they are in compliance with the national laws and regulations, </w:t>
      </w:r>
      <w:r w:rsidR="006054D3">
        <w:lastRenderedPageBreak/>
        <w:t xml:space="preserve">but they must also ensure they have </w:t>
      </w:r>
      <w:r w:rsidR="006847F4">
        <w:t xml:space="preserve">a fair and gender-equitable work environment </w:t>
      </w:r>
      <w:r w:rsidR="00D21628">
        <w:t>along with a good internal complaint system and effective support systems.</w:t>
      </w:r>
      <w:r w:rsidR="006054D3">
        <w:t xml:space="preserve"> </w:t>
      </w:r>
    </w:p>
    <w:p w14:paraId="0FA08AF7" w14:textId="77777777" w:rsidR="007C239F" w:rsidRDefault="00A547EA" w:rsidP="00113868">
      <w:pPr>
        <w:widowControl w:val="0"/>
        <w:suppressAutoHyphens w:val="0"/>
        <w:autoSpaceDE w:val="0"/>
        <w:autoSpaceDN w:val="0"/>
        <w:adjustRightInd w:val="0"/>
        <w:spacing w:line="480" w:lineRule="auto"/>
        <w:ind w:firstLine="720"/>
        <w:rPr>
          <w:szCs w:val="28"/>
        </w:rPr>
      </w:pPr>
      <w:r>
        <w:t>Results showing</w:t>
      </w:r>
      <w:r w:rsidR="00D9295A">
        <w:t xml:space="preserve"> that the severity of employee outcomes of perceived gender discrimination varies according to the country context</w:t>
      </w:r>
      <w:r>
        <w:t xml:space="preserve"> are </w:t>
      </w:r>
      <w:r w:rsidR="00D9295A">
        <w:t xml:space="preserve">relevant for firms with </w:t>
      </w:r>
      <w:r w:rsidR="007C239F">
        <w:t>employees</w:t>
      </w:r>
      <w:r w:rsidR="00D9295A">
        <w:t xml:space="preserve"> who</w:t>
      </w:r>
      <w:r w:rsidR="007C239F">
        <w:t xml:space="preserve"> mov</w:t>
      </w:r>
      <w:r w:rsidR="00D9295A">
        <w:t>e</w:t>
      </w:r>
      <w:r w:rsidR="007C239F">
        <w:t xml:space="preserve"> or travel across international boundaries for work or communicat</w:t>
      </w:r>
      <w:r w:rsidR="00D9295A">
        <w:t xml:space="preserve">e </w:t>
      </w:r>
      <w:r w:rsidR="007C239F">
        <w:t xml:space="preserve">with others on </w:t>
      </w:r>
      <w:r w:rsidR="00FB6B24">
        <w:t xml:space="preserve">a </w:t>
      </w:r>
      <w:r w:rsidR="007C239F">
        <w:t>global team</w:t>
      </w:r>
      <w:r w:rsidR="00D9295A">
        <w:t>. M</w:t>
      </w:r>
      <w:r w:rsidR="00564AB8">
        <w:t>anagers would benefit from a greater</w:t>
      </w:r>
      <w:r w:rsidR="007C239F">
        <w:t xml:space="preserve"> aware</w:t>
      </w:r>
      <w:r w:rsidR="00564AB8">
        <w:t>ness</w:t>
      </w:r>
      <w:r w:rsidR="007C239F">
        <w:t xml:space="preserve"> of</w:t>
      </w:r>
      <w:r w:rsidR="00564AB8">
        <w:t xml:space="preserve"> the</w:t>
      </w:r>
      <w:r w:rsidR="007C239F">
        <w:t xml:space="preserve"> </w:t>
      </w:r>
      <w:r w:rsidR="00564AB8">
        <w:t xml:space="preserve">different </w:t>
      </w:r>
      <w:r w:rsidR="007C239F">
        <w:t>laws and cultural norms with respect to gender roles and equal opportunity</w:t>
      </w:r>
      <w:r w:rsidR="00564AB8">
        <w:t xml:space="preserve"> across </w:t>
      </w:r>
      <w:r w:rsidR="00D9295A">
        <w:t xml:space="preserve">the </w:t>
      </w:r>
      <w:r w:rsidR="00564AB8">
        <w:t>countries</w:t>
      </w:r>
      <w:r w:rsidR="00D9295A">
        <w:t xml:space="preserve"> represented in their workforce</w:t>
      </w:r>
      <w:r w:rsidR="007C239F">
        <w:t>. Having a clear understanding of the</w:t>
      </w:r>
      <w:r w:rsidR="005778D0">
        <w:t>se</w:t>
      </w:r>
      <w:r w:rsidR="007C239F">
        <w:t xml:space="preserve"> can help</w:t>
      </w:r>
      <w:r w:rsidR="005778D0">
        <w:t xml:space="preserve"> employers</w:t>
      </w:r>
      <w:r w:rsidR="007C239F">
        <w:t xml:space="preserve"> prevent discrimination from occurring</w:t>
      </w:r>
      <w:r w:rsidR="005778D0">
        <w:t xml:space="preserve"> and </w:t>
      </w:r>
      <w:r w:rsidR="007C239F">
        <w:t xml:space="preserve">should </w:t>
      </w:r>
      <w:r w:rsidR="00471C83">
        <w:t xml:space="preserve">also </w:t>
      </w:r>
      <w:r w:rsidR="007C239F">
        <w:t xml:space="preserve">better allow </w:t>
      </w:r>
      <w:r w:rsidR="005778D0">
        <w:t xml:space="preserve">them </w:t>
      </w:r>
      <w:r w:rsidR="007C239F">
        <w:t>to mitigate its</w:t>
      </w:r>
      <w:r w:rsidR="00D9295A">
        <w:t xml:space="preserve"> adverse</w:t>
      </w:r>
      <w:r w:rsidR="007C239F">
        <w:t xml:space="preserve"> effects when it does occur. </w:t>
      </w:r>
      <w:r w:rsidR="00D9295A">
        <w:t>I</w:t>
      </w:r>
      <w:r w:rsidR="007C239F">
        <w:t>t is</w:t>
      </w:r>
      <w:r w:rsidR="00D9295A">
        <w:t xml:space="preserve"> also</w:t>
      </w:r>
      <w:r w:rsidR="007C239F">
        <w:t xml:space="preserve"> important </w:t>
      </w:r>
      <w:r w:rsidR="00394194">
        <w:t>for</w:t>
      </w:r>
      <w:r w:rsidR="007C239F">
        <w:t xml:space="preserve"> employers </w:t>
      </w:r>
      <w:r w:rsidR="00394194">
        <w:t xml:space="preserve">to </w:t>
      </w:r>
      <w:r w:rsidR="007C239F">
        <w:t xml:space="preserve">keep a watchful eye for gender discrimination and any behavioral changes in employees because of discrimination (e.g., work withdrawal, health issues). This is particularly true for employees from certain cultures, as cultural norms may not only shape </w:t>
      </w:r>
      <w:r w:rsidR="00CE5085">
        <w:t>how</w:t>
      </w:r>
      <w:r w:rsidR="007C239F">
        <w:t xml:space="preserve"> individuals respond to discrimination </w:t>
      </w:r>
      <w:r w:rsidR="006054D3">
        <w:t>(as evidence</w:t>
      </w:r>
      <w:r w:rsidR="00D9295A">
        <w:t>d</w:t>
      </w:r>
      <w:r w:rsidR="006054D3">
        <w:t xml:space="preserve"> by our finding that the country context moderates perceived gender discrimination – employee outcome relationship</w:t>
      </w:r>
      <w:r w:rsidR="00394194">
        <w:t>s</w:t>
      </w:r>
      <w:r w:rsidR="006054D3">
        <w:t xml:space="preserve">) </w:t>
      </w:r>
      <w:r w:rsidR="007C239F">
        <w:t xml:space="preserve">but also how they perceive conflict </w:t>
      </w:r>
      <w:r w:rsidR="00DE6C0A">
        <w:t>(</w:t>
      </w:r>
      <w:r w:rsidR="00394194">
        <w:t xml:space="preserve">e.g., </w:t>
      </w:r>
      <w:r w:rsidR="007C239F">
        <w:t>discrimination</w:t>
      </w:r>
      <w:r w:rsidR="00DE6C0A">
        <w:t>)</w:t>
      </w:r>
      <w:r w:rsidR="007C239F">
        <w:t>. For instance, people in collectivistic cultures (e.g., Chinese, Thais), likely avoid conflict to maintain harmony in relationships (Brew &amp; Cairns, 2004). Thus, they may be less likely to report discrimination to authorit</w:t>
      </w:r>
      <w:r w:rsidR="00CE5085">
        <w:t>ies</w:t>
      </w:r>
      <w:r w:rsidR="007C239F">
        <w:t>.</w:t>
      </w:r>
      <w:r w:rsidR="007C239F">
        <w:rPr>
          <w:szCs w:val="28"/>
        </w:rPr>
        <w:t xml:space="preserve">  </w:t>
      </w:r>
    </w:p>
    <w:p w14:paraId="1CFFEAE4" w14:textId="77777777" w:rsidR="007C239F" w:rsidRPr="00391EDE" w:rsidRDefault="007C239F" w:rsidP="007958F7">
      <w:pPr>
        <w:widowControl w:val="0"/>
        <w:suppressAutoHyphens w:val="0"/>
        <w:spacing w:line="480" w:lineRule="auto"/>
        <w:rPr>
          <w:b/>
        </w:rPr>
      </w:pPr>
      <w:r w:rsidRPr="00391EDE">
        <w:rPr>
          <w:b/>
        </w:rPr>
        <w:t>Limitations and Future Research</w:t>
      </w:r>
    </w:p>
    <w:p w14:paraId="20E2F968" w14:textId="3A24B2F1" w:rsidR="007C239F" w:rsidRDefault="007C239F" w:rsidP="007958F7">
      <w:pPr>
        <w:widowControl w:val="0"/>
        <w:suppressAutoHyphens w:val="0"/>
        <w:spacing w:line="480" w:lineRule="auto"/>
      </w:pPr>
      <w:r>
        <w:tab/>
        <w:t xml:space="preserve">One limitation of </w:t>
      </w:r>
      <w:r w:rsidR="003D583C">
        <w:t>the</w:t>
      </w:r>
      <w:r>
        <w:t xml:space="preserve"> meta-analytic study is that we had a relatively low number of correlations in some categories for subgroup analyses (e.g., </w:t>
      </w:r>
      <w:r>
        <w:rPr>
          <w:i/>
        </w:rPr>
        <w:t>k</w:t>
      </w:r>
      <w:r>
        <w:t xml:space="preserve"> of 2 or 3). </w:t>
      </w:r>
      <w:r w:rsidR="00DE6C0A">
        <w:t xml:space="preserve">Additionally, </w:t>
      </w:r>
      <w:r w:rsidR="00ED6BB7">
        <w:t xml:space="preserve">U.S. samples constituted </w:t>
      </w:r>
      <w:r w:rsidR="00A547EA">
        <w:t>most</w:t>
      </w:r>
      <w:r>
        <w:t xml:space="preserve"> </w:t>
      </w:r>
      <w:r w:rsidR="00DE6C0A">
        <w:t xml:space="preserve">studies </w:t>
      </w:r>
      <w:r>
        <w:t xml:space="preserve">included in </w:t>
      </w:r>
      <w:r w:rsidR="003D583C">
        <w:t>the</w:t>
      </w:r>
      <w:r>
        <w:t xml:space="preserve"> meta-analysis, which limited the variance in </w:t>
      </w:r>
      <w:r w:rsidR="003D583C">
        <w:t xml:space="preserve">the </w:t>
      </w:r>
      <w:r>
        <w:t xml:space="preserve">moderator variables. </w:t>
      </w:r>
      <w:r w:rsidR="00394194">
        <w:t>The</w:t>
      </w:r>
      <w:r w:rsidR="00ED6BB7">
        <w:t xml:space="preserve"> </w:t>
      </w:r>
      <w:r w:rsidR="00D84EB1">
        <w:t xml:space="preserve">survey </w:t>
      </w:r>
      <w:r>
        <w:t xml:space="preserve">study </w:t>
      </w:r>
      <w:r w:rsidR="00DE6C0A">
        <w:t xml:space="preserve">helps offset these limitations </w:t>
      </w:r>
      <w:r w:rsidR="00A547EA">
        <w:t>by</w:t>
      </w:r>
      <w:r w:rsidR="00DE6C0A">
        <w:t xml:space="preserve"> test</w:t>
      </w:r>
      <w:r w:rsidR="00A547EA">
        <w:t>ing</w:t>
      </w:r>
      <w:r w:rsidR="00DE6C0A">
        <w:t xml:space="preserve"> </w:t>
      </w:r>
      <w:r w:rsidR="003D583C">
        <w:t>the</w:t>
      </w:r>
      <w:r w:rsidR="00DE6C0A">
        <w:t xml:space="preserve"> hypotheses with </w:t>
      </w:r>
      <w:r w:rsidR="00397212">
        <w:t xml:space="preserve">a large </w:t>
      </w:r>
      <w:r w:rsidR="00DE6C0A">
        <w:t>sample of employees from five countries</w:t>
      </w:r>
      <w:r>
        <w:t xml:space="preserve">. Nonetheless, </w:t>
      </w:r>
      <w:r w:rsidR="00ED6BB7">
        <w:t>it</w:t>
      </w:r>
      <w:r>
        <w:t xml:space="preserve"> also has a limited number </w:t>
      </w:r>
      <w:r>
        <w:lastRenderedPageBreak/>
        <w:t xml:space="preserve">of countries and </w:t>
      </w:r>
      <w:r w:rsidR="00397212">
        <w:t xml:space="preserve">limited </w:t>
      </w:r>
      <w:r>
        <w:t>variance on</w:t>
      </w:r>
      <w:r w:rsidR="00ED6BB7">
        <w:t xml:space="preserve"> the two country moderator variables</w:t>
      </w:r>
      <w:r>
        <w:t xml:space="preserve">. We note that limited variance would make it </w:t>
      </w:r>
      <w:r w:rsidR="00471C83">
        <w:t>more difficult</w:t>
      </w:r>
      <w:r>
        <w:t xml:space="preserve"> to detect effects, and thus, </w:t>
      </w:r>
      <w:r w:rsidR="002D1919">
        <w:t>the</w:t>
      </w:r>
      <w:r>
        <w:t xml:space="preserve"> results are likely</w:t>
      </w:r>
      <w:r w:rsidR="00D84EB1">
        <w:t xml:space="preserve"> to be</w:t>
      </w:r>
      <w:r>
        <w:t xml:space="preserve"> conservative. Future research</w:t>
      </w:r>
      <w:r w:rsidR="00ED6BB7">
        <w:t xml:space="preserve"> </w:t>
      </w:r>
      <w:r w:rsidR="00DB3E0E">
        <w:t>may</w:t>
      </w:r>
      <w:r w:rsidR="00ED6BB7">
        <w:t xml:space="preserve"> seek greater variance when</w:t>
      </w:r>
      <w:r>
        <w:t xml:space="preserve"> test</w:t>
      </w:r>
      <w:r w:rsidR="00ED6BB7">
        <w:t>ing</w:t>
      </w:r>
      <w:r>
        <w:t xml:space="preserve"> </w:t>
      </w:r>
      <w:r w:rsidR="00ED6BB7">
        <w:t xml:space="preserve">country-level </w:t>
      </w:r>
      <w:r>
        <w:t>moderator</w:t>
      </w:r>
      <w:r w:rsidR="00ED6BB7">
        <w:t>s</w:t>
      </w:r>
      <w:r>
        <w:t>.</w:t>
      </w:r>
    </w:p>
    <w:p w14:paraId="3E86D6AF" w14:textId="66C9477B" w:rsidR="00C940DD" w:rsidRDefault="007C239F" w:rsidP="007958F7">
      <w:pPr>
        <w:widowControl w:val="0"/>
        <w:suppressAutoHyphens w:val="0"/>
        <w:spacing w:line="480" w:lineRule="auto"/>
      </w:pPr>
      <w:r>
        <w:tab/>
        <w:t xml:space="preserve">Another limitation is that the studies included in </w:t>
      </w:r>
      <w:r w:rsidR="00394194">
        <w:t>the</w:t>
      </w:r>
      <w:r>
        <w:t xml:space="preserve"> meta-analysis and </w:t>
      </w:r>
      <w:r w:rsidR="00394194">
        <w:t>the</w:t>
      </w:r>
      <w:r>
        <w:t xml:space="preserve"> </w:t>
      </w:r>
      <w:r w:rsidR="00ED6BB7">
        <w:t xml:space="preserve">survey </w:t>
      </w:r>
      <w:r>
        <w:t>study rely mainly on same-source data. Goldman et al. (2006) rationalized the common use of same-source data in the study of employment discrimination as being a function of the topic’s sensitivity that warrants anonymity in measurement. Yet, this limitation, coupled with the cross-sectional nature of the primary studies, still raises concerns regarding common method variance (CMV). To assess the potential CMV bias</w:t>
      </w:r>
      <w:r w:rsidR="00DE6C0A">
        <w:t xml:space="preserve"> in </w:t>
      </w:r>
      <w:r w:rsidR="002D1919">
        <w:t>the</w:t>
      </w:r>
      <w:r w:rsidR="00DE6C0A">
        <w:t xml:space="preserve"> meta-analytic findings</w:t>
      </w:r>
      <w:r>
        <w:t>, we reviewed those primary studies that acknowledged CMV as a potential limitation.</w:t>
      </w:r>
      <w:r w:rsidR="00085351">
        <w:t xml:space="preserve"> </w:t>
      </w:r>
      <w:r w:rsidR="00C940DD">
        <w:t xml:space="preserve">We </w:t>
      </w:r>
      <w:r w:rsidR="002D1919">
        <w:t>identifie</w:t>
      </w:r>
      <w:r w:rsidR="00C940DD">
        <w:t>d 16 studies recognizing CMV as a risk, with</w:t>
      </w:r>
      <w:r w:rsidR="00C940DD" w:rsidRPr="00297967">
        <w:t xml:space="preserve"> </w:t>
      </w:r>
      <w:r w:rsidR="00C940DD">
        <w:t>13</w:t>
      </w:r>
      <w:r w:rsidR="00C940DD" w:rsidRPr="00297967">
        <w:t xml:space="preserve"> attempt</w:t>
      </w:r>
      <w:r w:rsidR="00C940DD">
        <w:t>ing to reduce the bias</w:t>
      </w:r>
      <w:r w:rsidR="00C940DD" w:rsidRPr="00297967">
        <w:t xml:space="preserve"> with either an a priori strategy </w:t>
      </w:r>
      <w:r w:rsidR="00C940DD">
        <w:t>recommended by Podsa</w:t>
      </w:r>
      <w:r w:rsidR="00C940DD" w:rsidRPr="00297967">
        <w:t>koff</w:t>
      </w:r>
      <w:r w:rsidR="00B717A7">
        <w:t xml:space="preserve">, </w:t>
      </w:r>
      <w:proofErr w:type="spellStart"/>
      <w:r w:rsidR="00B717A7" w:rsidRPr="00401F7D">
        <w:t>MacKenzie</w:t>
      </w:r>
      <w:proofErr w:type="spellEnd"/>
      <w:r w:rsidR="00B717A7" w:rsidRPr="00401F7D">
        <w:t>,</w:t>
      </w:r>
      <w:r w:rsidR="002C4144">
        <w:t xml:space="preserve"> Lee,</w:t>
      </w:r>
      <w:r w:rsidR="00B717A7" w:rsidRPr="00401F7D">
        <w:t xml:space="preserve"> </w:t>
      </w:r>
      <w:r w:rsidR="00B717A7">
        <w:t>and</w:t>
      </w:r>
      <w:r w:rsidR="00B717A7" w:rsidRPr="00401F7D">
        <w:t xml:space="preserve"> Podsakoff</w:t>
      </w:r>
      <w:r w:rsidR="00B717A7">
        <w:t xml:space="preserve"> </w:t>
      </w:r>
      <w:r w:rsidR="00C940DD" w:rsidRPr="00297967">
        <w:t xml:space="preserve">(2003) or post-hoc examination of </w:t>
      </w:r>
      <w:r w:rsidR="00C940DD">
        <w:t>degree of bias</w:t>
      </w:r>
      <w:r w:rsidR="00C940DD" w:rsidRPr="00297967">
        <w:t xml:space="preserve">. </w:t>
      </w:r>
      <w:r w:rsidR="00C940DD">
        <w:t>The two studies that assessed</w:t>
      </w:r>
      <w:r w:rsidR="00C940DD" w:rsidRPr="00297967">
        <w:t xml:space="preserve"> </w:t>
      </w:r>
      <w:r w:rsidR="00C940DD">
        <w:t>the degree of CMV found that method variance accounted for 9.2% (</w:t>
      </w:r>
      <w:proofErr w:type="spellStart"/>
      <w:r w:rsidR="00C940DD">
        <w:t>Herrbach</w:t>
      </w:r>
      <w:proofErr w:type="spellEnd"/>
      <w:r w:rsidR="00C940DD">
        <w:t xml:space="preserve"> &amp; </w:t>
      </w:r>
      <w:proofErr w:type="spellStart"/>
      <w:r w:rsidR="00C940DD">
        <w:t>Mignonac</w:t>
      </w:r>
      <w:proofErr w:type="spellEnd"/>
      <w:r w:rsidR="00C940DD">
        <w:t>, 2012) to 29.39% (Dalton, Cohen, Harp, &amp; McMillan, 2014) of the scale-item variance</w:t>
      </w:r>
      <w:r w:rsidR="00C940DD" w:rsidRPr="00297967">
        <w:t xml:space="preserve">. </w:t>
      </w:r>
      <w:r w:rsidR="00C940DD">
        <w:t>Th</w:t>
      </w:r>
      <w:r w:rsidR="00C940DD" w:rsidRPr="00297967">
        <w:t>ese</w:t>
      </w:r>
      <w:r w:rsidR="00C940DD">
        <w:t xml:space="preserve"> figures</w:t>
      </w:r>
      <w:r w:rsidR="00C940DD" w:rsidRPr="00297967">
        <w:t xml:space="preserve"> are in line with Doty and Glick’s (1998) finding</w:t>
      </w:r>
      <w:r w:rsidR="00C940DD">
        <w:t xml:space="preserve"> from</w:t>
      </w:r>
      <w:r w:rsidR="00C940DD" w:rsidRPr="00297967">
        <w:t xml:space="preserve"> their reanalysis of 28 studies, as well as other stud</w:t>
      </w:r>
      <w:r w:rsidR="00C940DD">
        <w:t xml:space="preserve">ies of CMV (e.g., Williams, Hartman, &amp; </w:t>
      </w:r>
      <w:proofErr w:type="spellStart"/>
      <w:r w:rsidR="00C940DD">
        <w:t>Cavazotte</w:t>
      </w:r>
      <w:proofErr w:type="spellEnd"/>
      <w:r w:rsidR="00C940DD" w:rsidRPr="00297967">
        <w:t>, 2010).</w:t>
      </w:r>
      <w:r w:rsidR="00C940DD">
        <w:t xml:space="preserve"> Although Doty and Glick found that</w:t>
      </w:r>
      <w:r w:rsidR="00C940DD" w:rsidRPr="00297967">
        <w:t xml:space="preserve"> CMV accounted for 26% of the bias in the observed relations</w:t>
      </w:r>
      <w:r w:rsidR="00A547EA">
        <w:t>hips</w:t>
      </w:r>
      <w:r w:rsidR="00C940DD">
        <w:t>, they</w:t>
      </w:r>
      <w:r w:rsidR="00C940DD" w:rsidRPr="00297967">
        <w:t xml:space="preserve"> concluded that the bias from CMV did not undermine many findings from the studies.</w:t>
      </w:r>
      <w:r w:rsidR="00394194">
        <w:rPr>
          <w:vertAlign w:val="superscript"/>
        </w:rPr>
        <w:t>3</w:t>
      </w:r>
      <w:r w:rsidR="00C940DD">
        <w:t xml:space="preserve"> While we acknowledge that the effect sizes reported here are likely inflated, the evidence suggests that the inflation is minimal. Echoing an earlier call by Goldman </w:t>
      </w:r>
      <w:r w:rsidR="00443FA7">
        <w:t>et al.</w:t>
      </w:r>
      <w:r w:rsidR="00C940DD">
        <w:t xml:space="preserve"> (2006), future research with improved study designs (e.g., measurement time-lags</w:t>
      </w:r>
      <w:r w:rsidR="00443FA7">
        <w:t>,</w:t>
      </w:r>
      <w:r w:rsidR="00C940DD">
        <w:t xml:space="preserve"> inclusion of other-source data</w:t>
      </w:r>
      <w:r w:rsidR="00443FA7">
        <w:t>)</w:t>
      </w:r>
      <w:r w:rsidR="00C940DD">
        <w:t xml:space="preserve"> is needed to reduce CMV</w:t>
      </w:r>
      <w:r w:rsidR="00443FA7">
        <w:t xml:space="preserve"> in discrimination research</w:t>
      </w:r>
      <w:r w:rsidR="00C940DD">
        <w:t>.</w:t>
      </w:r>
    </w:p>
    <w:p w14:paraId="55E6D17D" w14:textId="569238BA" w:rsidR="009F14A1" w:rsidRPr="009F14A1" w:rsidRDefault="009F14A1" w:rsidP="007958F7">
      <w:pPr>
        <w:widowControl w:val="0"/>
        <w:suppressAutoHyphens w:val="0"/>
        <w:spacing w:line="480" w:lineRule="auto"/>
      </w:pPr>
      <w:r>
        <w:tab/>
      </w:r>
      <w:r w:rsidRPr="009F14A1">
        <w:t xml:space="preserve">CMV is also a concern in our </w:t>
      </w:r>
      <w:r w:rsidR="00E41A8D">
        <w:t>survey</w:t>
      </w:r>
      <w:r w:rsidR="00E41A8D" w:rsidRPr="009F14A1">
        <w:t xml:space="preserve"> </w:t>
      </w:r>
      <w:r w:rsidRPr="009F14A1">
        <w:t>study</w:t>
      </w:r>
      <w:r w:rsidR="00CA262E">
        <w:t xml:space="preserve"> because</w:t>
      </w:r>
      <w:r w:rsidRPr="009F14A1">
        <w:t xml:space="preserve"> the data were self-reported and </w:t>
      </w:r>
      <w:r w:rsidRPr="009F14A1">
        <w:lastRenderedPageBreak/>
        <w:t xml:space="preserve">collected at one time period. The results of </w:t>
      </w:r>
      <w:r w:rsidR="006B3772">
        <w:t>the</w:t>
      </w:r>
      <w:r w:rsidRPr="009F14A1">
        <w:t xml:space="preserve"> confirmatory factor analys</w:t>
      </w:r>
      <w:r w:rsidR="00472706">
        <w:t>e</w:t>
      </w:r>
      <w:r w:rsidRPr="009F14A1">
        <w:t xml:space="preserve">s </w:t>
      </w:r>
      <w:r w:rsidR="00C02B38">
        <w:t xml:space="preserve">(in Appendix E, online supplement) </w:t>
      </w:r>
      <w:r w:rsidRPr="009F14A1">
        <w:t xml:space="preserve">showed support for the discriminant validity of </w:t>
      </w:r>
      <w:r w:rsidR="00C02B38">
        <w:t>the</w:t>
      </w:r>
      <w:r w:rsidRPr="009F14A1">
        <w:t xml:space="preserve"> measures</w:t>
      </w:r>
      <w:r w:rsidR="00472706">
        <w:t>, which alleviate</w:t>
      </w:r>
      <w:r w:rsidR="00C02B38">
        <w:t>s</w:t>
      </w:r>
      <w:r w:rsidR="00472706">
        <w:t xml:space="preserve"> CMV concerns</w:t>
      </w:r>
      <w:r w:rsidRPr="009F14A1">
        <w:t xml:space="preserve">. </w:t>
      </w:r>
      <w:r>
        <w:t>W</w:t>
      </w:r>
      <w:r w:rsidRPr="009F14A1">
        <w:t xml:space="preserve">e also note the work of Evans (1985) and Schmitt (1994) who </w:t>
      </w:r>
      <w:r w:rsidR="00FB151C">
        <w:t>conceptually</w:t>
      </w:r>
      <w:r w:rsidR="00561534">
        <w:t xml:space="preserve"> argue</w:t>
      </w:r>
      <w:r w:rsidR="00FB151C">
        <w:t xml:space="preserve"> and </w:t>
      </w:r>
      <w:r w:rsidR="00561534">
        <w:t xml:space="preserve">demonstrate </w:t>
      </w:r>
      <w:r w:rsidR="00FB151C">
        <w:t xml:space="preserve">using simulations </w:t>
      </w:r>
      <w:r w:rsidRPr="009F14A1">
        <w:t xml:space="preserve">that </w:t>
      </w:r>
      <w:r w:rsidR="00A37861">
        <w:t xml:space="preserve">although the magnitude of correlations can be inflated due to CMV, </w:t>
      </w:r>
      <w:r w:rsidRPr="009F14A1">
        <w:t xml:space="preserve">there is no theoretical basis to expect spurious interaction effects because of CMV. Still, future </w:t>
      </w:r>
      <w:r>
        <w:t xml:space="preserve">research </w:t>
      </w:r>
      <w:r w:rsidRPr="009F14A1">
        <w:t xml:space="preserve">can build upon </w:t>
      </w:r>
      <w:r w:rsidR="006B3772">
        <w:t>the present study</w:t>
      </w:r>
      <w:r w:rsidRPr="009F14A1">
        <w:t xml:space="preserve"> and establish causal</w:t>
      </w:r>
      <w:r>
        <w:t>ity with more certainty</w:t>
      </w:r>
      <w:r w:rsidRPr="009F14A1">
        <w:t>.</w:t>
      </w:r>
    </w:p>
    <w:p w14:paraId="12FF810E" w14:textId="08527916" w:rsidR="00854FEE" w:rsidRDefault="00E41A8D" w:rsidP="007F12E1">
      <w:pPr>
        <w:widowControl w:val="0"/>
        <w:suppressAutoHyphens w:val="0"/>
        <w:spacing w:line="480" w:lineRule="auto"/>
        <w:ind w:firstLine="720"/>
      </w:pPr>
      <w:r>
        <w:t>A</w:t>
      </w:r>
      <w:r w:rsidR="00854FEE">
        <w:t xml:space="preserve"> limitation of our moderator analyses i</w:t>
      </w:r>
      <w:r w:rsidR="00B05486">
        <w:t>s</w:t>
      </w:r>
      <w:r w:rsidR="00854FEE">
        <w:t xml:space="preserve"> </w:t>
      </w:r>
      <w:r w:rsidR="006B3772">
        <w:t>the</w:t>
      </w:r>
      <w:r w:rsidR="00854FEE">
        <w:t xml:space="preserve"> inability to match the</w:t>
      </w:r>
      <w:r w:rsidR="00854FEE" w:rsidRPr="0084001B">
        <w:t xml:space="preserve"> </w:t>
      </w:r>
      <w:r w:rsidR="00854FEE">
        <w:t xml:space="preserve">data on integration/enforcement of labor policies/practices </w:t>
      </w:r>
      <w:r w:rsidR="00854FEE" w:rsidRPr="0084001B">
        <w:t xml:space="preserve">and </w:t>
      </w:r>
      <w:r w:rsidR="00854FEE">
        <w:t xml:space="preserve">national </w:t>
      </w:r>
      <w:r w:rsidR="00854FEE" w:rsidRPr="0084001B">
        <w:t>culture</w:t>
      </w:r>
      <w:r w:rsidR="00854FEE">
        <w:t xml:space="preserve"> </w:t>
      </w:r>
      <w:r w:rsidR="00854FEE" w:rsidRPr="0084001B">
        <w:t>to the year of public</w:t>
      </w:r>
      <w:r w:rsidR="00854FEE">
        <w:t xml:space="preserve">ation for each study because longitudinal </w:t>
      </w:r>
      <w:r w:rsidR="00854FEE" w:rsidRPr="0084001B">
        <w:t xml:space="preserve">data </w:t>
      </w:r>
      <w:r w:rsidR="00854FEE">
        <w:t>for the respective variables are not available</w:t>
      </w:r>
      <w:r w:rsidR="0062712B">
        <w:t xml:space="preserve"> (i.e., WEOI data are limited to two years and GLOBE cultural practice data are limited to a single year)</w:t>
      </w:r>
      <w:r w:rsidR="00854FEE" w:rsidRPr="0084001B">
        <w:t xml:space="preserve">. </w:t>
      </w:r>
      <w:r w:rsidR="00854FEE">
        <w:t>Our theoretical framework is focused on examining the moderating influence of the between-country variation in the integration/enforcement of labor policies/practices and national culture practices, not the within-country variation in these constructs (e.g., longitudinal)</w:t>
      </w:r>
      <w:r w:rsidR="0062712B">
        <w:t xml:space="preserve">. </w:t>
      </w:r>
      <w:r w:rsidR="00A547EA">
        <w:t>Future research may examine</w:t>
      </w:r>
      <w:r w:rsidR="00854FEE">
        <w:t xml:space="preserve"> how longitudinal changes to </w:t>
      </w:r>
      <w:r w:rsidR="00B05486">
        <w:t>practices in</w:t>
      </w:r>
      <w:r w:rsidR="00854FEE">
        <w:t xml:space="preserve"> a given country may influence the severity of the employee outcomes of perceived workplace gender discrimination over time. </w:t>
      </w:r>
    </w:p>
    <w:p w14:paraId="6F06A4FD" w14:textId="77777777" w:rsidR="00590ED0" w:rsidRPr="002518F6" w:rsidRDefault="00590ED0" w:rsidP="007F12E1">
      <w:pPr>
        <w:widowControl w:val="0"/>
        <w:suppressAutoHyphens w:val="0"/>
        <w:spacing w:line="480" w:lineRule="auto"/>
        <w:rPr>
          <w:b/>
        </w:rPr>
      </w:pPr>
      <w:r w:rsidRPr="002518F6">
        <w:rPr>
          <w:b/>
        </w:rPr>
        <w:t>Conclusion</w:t>
      </w:r>
    </w:p>
    <w:p w14:paraId="6CF472DF" w14:textId="698E5E50" w:rsidR="002A030F" w:rsidRDefault="00E17B54" w:rsidP="00BE2771">
      <w:pPr>
        <w:widowControl w:val="0"/>
        <w:suppressAutoHyphens w:val="0"/>
        <w:spacing w:line="480" w:lineRule="auto"/>
        <w:ind w:firstLine="720"/>
      </w:pPr>
      <w:r>
        <w:t>P</w:t>
      </w:r>
      <w:r w:rsidR="00A03C76">
        <w:t>erceived gender discrimination is associated with poor employee job attitudes, physical health outcomes and behaviors, psychological health, and work</w:t>
      </w:r>
      <w:r w:rsidR="00D6573D">
        <w:t>-related</w:t>
      </w:r>
      <w:r w:rsidR="00A03C76">
        <w:t xml:space="preserve"> outcomes. Extending </w:t>
      </w:r>
      <w:r w:rsidR="008E36A4">
        <w:t>relative deprivation theory</w:t>
      </w:r>
      <w:r w:rsidR="00A03C76">
        <w:t xml:space="preserve">, </w:t>
      </w:r>
      <w:r w:rsidR="00DD27FB">
        <w:t>findings show</w:t>
      </w:r>
      <w:r w:rsidR="00A03C76">
        <w:t xml:space="preserve"> that </w:t>
      </w:r>
      <w:r>
        <w:t xml:space="preserve">many of </w:t>
      </w:r>
      <w:r w:rsidR="00A03C76">
        <w:t xml:space="preserve">these deleterious effects are stronger in countries that have more broadly integrated and stringently enforced gender-equitable labor policies and practices and more gender egalitarian national cultural practices. </w:t>
      </w:r>
      <w:r w:rsidR="008E36A4">
        <w:t>Results</w:t>
      </w:r>
      <w:r w:rsidR="00BF05FD">
        <w:t xml:space="preserve"> from </w:t>
      </w:r>
      <w:r w:rsidR="008E36A4">
        <w:t>two</w:t>
      </w:r>
      <w:r w:rsidR="00BF05FD">
        <w:t xml:space="preserve"> </w:t>
      </w:r>
      <w:r w:rsidR="0062712B">
        <w:t>complementary studies</w:t>
      </w:r>
      <w:r w:rsidR="00BF05FD">
        <w:t xml:space="preserve"> </w:t>
      </w:r>
      <w:r w:rsidR="00CE5085">
        <w:t>support</w:t>
      </w:r>
      <w:r w:rsidR="00BF05FD">
        <w:t xml:space="preserve"> </w:t>
      </w:r>
      <w:r w:rsidR="00CE5085">
        <w:t xml:space="preserve">the </w:t>
      </w:r>
      <w:r w:rsidR="00BF05FD">
        <w:t>relative deprivation rationale central to our theory.</w:t>
      </w:r>
      <w:r w:rsidR="002A030F">
        <w:br w:type="page"/>
      </w:r>
    </w:p>
    <w:p w14:paraId="78E7C3AD" w14:textId="77777777" w:rsidR="00257930" w:rsidRPr="00E678F6" w:rsidRDefault="00257930" w:rsidP="00A00D59">
      <w:pPr>
        <w:widowControl w:val="0"/>
        <w:spacing w:line="480" w:lineRule="auto"/>
        <w:jc w:val="center"/>
      </w:pPr>
      <w:r w:rsidRPr="00D12703">
        <w:rPr>
          <w:b/>
        </w:rPr>
        <w:lastRenderedPageBreak/>
        <w:t>REFERENCES</w:t>
      </w:r>
    </w:p>
    <w:p w14:paraId="6E4ACEFD" w14:textId="7A5552AE" w:rsidR="008D5F86" w:rsidRPr="00C41629" w:rsidRDefault="008D5F86" w:rsidP="00D549E9">
      <w:pPr>
        <w:keepNext/>
        <w:keepLines/>
        <w:autoSpaceDE w:val="0"/>
        <w:spacing w:line="480" w:lineRule="auto"/>
        <w:ind w:left="720" w:hanging="720"/>
      </w:pPr>
      <w:r w:rsidRPr="00C41629">
        <w:t xml:space="preserve">Aiken, L. S., &amp; West, S. G. 1991. </w:t>
      </w:r>
      <w:r w:rsidRPr="00C41629">
        <w:rPr>
          <w:i/>
          <w:iCs/>
        </w:rPr>
        <w:t xml:space="preserve">Multiple </w:t>
      </w:r>
      <w:r w:rsidR="007E2043">
        <w:rPr>
          <w:i/>
          <w:iCs/>
        </w:rPr>
        <w:t>r</w:t>
      </w:r>
      <w:r w:rsidRPr="00C41629">
        <w:rPr>
          <w:i/>
          <w:iCs/>
        </w:rPr>
        <w:t>egression:</w:t>
      </w:r>
      <w:r>
        <w:rPr>
          <w:i/>
          <w:iCs/>
        </w:rPr>
        <w:t xml:space="preserve"> </w:t>
      </w:r>
      <w:r w:rsidRPr="00C41629">
        <w:rPr>
          <w:i/>
          <w:iCs/>
        </w:rPr>
        <w:t>Testing and interpreting interactions</w:t>
      </w:r>
      <w:r w:rsidRPr="00C41629">
        <w:t>. Newbury Park, CA: Sage.</w:t>
      </w:r>
    </w:p>
    <w:p w14:paraId="46F3A596" w14:textId="77777777" w:rsidR="00257930" w:rsidRPr="00805C24" w:rsidRDefault="00257930" w:rsidP="00D549E9">
      <w:pPr>
        <w:keepNext/>
        <w:keepLines/>
        <w:widowControl w:val="0"/>
        <w:autoSpaceDE w:val="0"/>
        <w:spacing w:line="480" w:lineRule="auto"/>
        <w:ind w:left="720" w:hanging="720"/>
      </w:pPr>
      <w:r w:rsidRPr="00805C24">
        <w:t xml:space="preserve">Allport, G. 1954. </w:t>
      </w:r>
      <w:r w:rsidRPr="00805C24">
        <w:rPr>
          <w:i/>
          <w:iCs/>
        </w:rPr>
        <w:t>The nature of prejudice</w:t>
      </w:r>
      <w:r w:rsidRPr="00805C24">
        <w:t>. Boston, MA: Beacon Press.</w:t>
      </w:r>
    </w:p>
    <w:p w14:paraId="0C245811" w14:textId="77777777" w:rsidR="00257930" w:rsidRPr="00805C24" w:rsidRDefault="00257930" w:rsidP="00113868">
      <w:pPr>
        <w:widowControl w:val="0"/>
        <w:suppressAutoHyphens w:val="0"/>
        <w:autoSpaceDE w:val="0"/>
        <w:autoSpaceDN w:val="0"/>
        <w:adjustRightInd w:val="0"/>
        <w:spacing w:line="480" w:lineRule="auto"/>
        <w:ind w:left="720" w:hanging="720"/>
      </w:pPr>
      <w:r w:rsidRPr="000627B9">
        <w:t>*</w:t>
      </w:r>
      <w:proofErr w:type="spellStart"/>
      <w:r w:rsidRPr="000627B9">
        <w:t>Antecol</w:t>
      </w:r>
      <w:proofErr w:type="spellEnd"/>
      <w:r w:rsidRPr="000627B9">
        <w:t xml:space="preserve">, H., </w:t>
      </w:r>
      <w:proofErr w:type="spellStart"/>
      <w:r w:rsidRPr="000627B9">
        <w:t>Barcus</w:t>
      </w:r>
      <w:proofErr w:type="spellEnd"/>
      <w:r w:rsidRPr="000627B9">
        <w:t xml:space="preserve">, V. E., &amp; Cobb-Clark, D. </w:t>
      </w:r>
      <w:r w:rsidRPr="00F46251">
        <w:t>2009</w:t>
      </w:r>
      <w:r w:rsidRPr="007436E9">
        <w:t xml:space="preserve">. </w:t>
      </w:r>
      <w:r w:rsidRPr="00805C24">
        <w:t xml:space="preserve">Gender-biased behavior at work: </w:t>
      </w:r>
    </w:p>
    <w:p w14:paraId="69533F38" w14:textId="77777777" w:rsidR="00257930" w:rsidRPr="00805C24" w:rsidRDefault="00257930" w:rsidP="00C1776F">
      <w:pPr>
        <w:widowControl w:val="0"/>
        <w:suppressAutoHyphens w:val="0"/>
        <w:autoSpaceDE w:val="0"/>
        <w:autoSpaceDN w:val="0"/>
        <w:adjustRightInd w:val="0"/>
        <w:spacing w:line="480" w:lineRule="auto"/>
        <w:ind w:left="720"/>
      </w:pPr>
      <w:r w:rsidRPr="00805C24">
        <w:t xml:space="preserve">Exploring the relationship between sexual harassment and sex discrimination. </w:t>
      </w:r>
      <w:r w:rsidRPr="00805C24">
        <w:rPr>
          <w:i/>
          <w:iCs/>
        </w:rPr>
        <w:t>Journal of Economic Psychology</w:t>
      </w:r>
      <w:r w:rsidRPr="00805C24">
        <w:t xml:space="preserve">, </w:t>
      </w:r>
      <w:r w:rsidRPr="003763DF">
        <w:rPr>
          <w:iCs/>
        </w:rPr>
        <w:t>30</w:t>
      </w:r>
      <w:r w:rsidRPr="00805C24">
        <w:t>(5)</w:t>
      </w:r>
      <w:r w:rsidR="000911C0">
        <w:t>:</w:t>
      </w:r>
      <w:r w:rsidRPr="00805C24">
        <w:t xml:space="preserve"> 782-792.</w:t>
      </w:r>
    </w:p>
    <w:p w14:paraId="39AD2647" w14:textId="77777777" w:rsidR="00257930" w:rsidRPr="002B322B" w:rsidRDefault="00257930" w:rsidP="00113868">
      <w:pPr>
        <w:keepNext/>
        <w:keepLines/>
        <w:widowControl w:val="0"/>
        <w:spacing w:line="480" w:lineRule="auto"/>
        <w:ind w:left="720" w:hanging="720"/>
      </w:pPr>
      <w:r w:rsidRPr="002B322B">
        <w:t>Arthur, W. Jr., Bennett,</w:t>
      </w:r>
      <w:r>
        <w:t xml:space="preserve"> W.</w:t>
      </w:r>
      <w:r w:rsidRPr="002B322B">
        <w:t xml:space="preserve"> Jr., </w:t>
      </w:r>
      <w:r>
        <w:t xml:space="preserve">&amp; </w:t>
      </w:r>
      <w:proofErr w:type="spellStart"/>
      <w:r w:rsidRPr="002B322B">
        <w:t>Huffcutt</w:t>
      </w:r>
      <w:proofErr w:type="spellEnd"/>
      <w:r>
        <w:t xml:space="preserve">, </w:t>
      </w:r>
      <w:r w:rsidRPr="002B322B">
        <w:t xml:space="preserve">A. I. 2001. </w:t>
      </w:r>
      <w:r w:rsidRPr="002B322B">
        <w:rPr>
          <w:i/>
        </w:rPr>
        <w:t>Conducting meta-analysis using SAS</w:t>
      </w:r>
      <w:r w:rsidRPr="002B322B">
        <w:t>. Mahwah, NJ</w:t>
      </w:r>
      <w:r>
        <w:t xml:space="preserve">: </w:t>
      </w:r>
      <w:r w:rsidRPr="002B322B">
        <w:t>Lawrence Erlbaum Associates.</w:t>
      </w:r>
    </w:p>
    <w:p w14:paraId="42A250F4" w14:textId="77777777" w:rsidR="00257930" w:rsidRPr="00C41629" w:rsidRDefault="00257930" w:rsidP="00D549E9">
      <w:pPr>
        <w:keepNext/>
        <w:keepLines/>
        <w:widowControl w:val="0"/>
        <w:autoSpaceDE w:val="0"/>
        <w:spacing w:line="480" w:lineRule="auto"/>
        <w:ind w:left="720" w:hanging="720"/>
      </w:pPr>
      <w:r w:rsidRPr="00C41629">
        <w:t xml:space="preserve">Baron, R. M., &amp; Kenny, D. A. 1986. The moderator-mediator variable distinction in social psychological research: Conceptual, strategic, and statistical considerations. </w:t>
      </w:r>
      <w:r w:rsidRPr="00C41629">
        <w:rPr>
          <w:i/>
          <w:iCs/>
        </w:rPr>
        <w:t xml:space="preserve">Journal of </w:t>
      </w:r>
      <w:r>
        <w:rPr>
          <w:i/>
          <w:iCs/>
        </w:rPr>
        <w:t>P</w:t>
      </w:r>
      <w:r w:rsidRPr="00C41629">
        <w:rPr>
          <w:i/>
          <w:iCs/>
        </w:rPr>
        <w:t xml:space="preserve">ersonality and </w:t>
      </w:r>
      <w:r>
        <w:rPr>
          <w:i/>
          <w:iCs/>
        </w:rPr>
        <w:t>S</w:t>
      </w:r>
      <w:r w:rsidRPr="00C41629">
        <w:rPr>
          <w:i/>
          <w:iCs/>
        </w:rPr>
        <w:t xml:space="preserve">ocial </w:t>
      </w:r>
      <w:r>
        <w:rPr>
          <w:i/>
          <w:iCs/>
        </w:rPr>
        <w:t>P</w:t>
      </w:r>
      <w:r w:rsidRPr="00C41629">
        <w:rPr>
          <w:i/>
          <w:iCs/>
        </w:rPr>
        <w:t xml:space="preserve">sychology, </w:t>
      </w:r>
      <w:r w:rsidRPr="000911C0">
        <w:rPr>
          <w:iCs/>
        </w:rPr>
        <w:t>51</w:t>
      </w:r>
      <w:r w:rsidRPr="00C41629">
        <w:t>: 1173-1182.</w:t>
      </w:r>
    </w:p>
    <w:p w14:paraId="68086E57" w14:textId="77777777" w:rsidR="00257930" w:rsidRPr="00805C24" w:rsidRDefault="00257930" w:rsidP="00113868">
      <w:pPr>
        <w:widowControl w:val="0"/>
        <w:suppressAutoHyphens w:val="0"/>
        <w:autoSpaceDE w:val="0"/>
        <w:autoSpaceDN w:val="0"/>
        <w:adjustRightInd w:val="0"/>
        <w:spacing w:line="480" w:lineRule="auto"/>
        <w:ind w:left="720" w:hanging="720"/>
      </w:pPr>
      <w:r w:rsidRPr="00805C24">
        <w:t xml:space="preserve">*Beaton, A. M., &amp; </w:t>
      </w:r>
      <w:proofErr w:type="spellStart"/>
      <w:r w:rsidRPr="00805C24">
        <w:t>Tougas</w:t>
      </w:r>
      <w:proofErr w:type="spellEnd"/>
      <w:r w:rsidRPr="00805C24">
        <w:t xml:space="preserve">, F. 1997. The representation of women in management: The more, the merrier? </w:t>
      </w:r>
      <w:r w:rsidRPr="00805C24">
        <w:rPr>
          <w:i/>
          <w:iCs/>
        </w:rPr>
        <w:t>Personality and Social Psychology Bulletin</w:t>
      </w:r>
      <w:r w:rsidRPr="00805C24">
        <w:t xml:space="preserve">, </w:t>
      </w:r>
      <w:r w:rsidRPr="003763DF">
        <w:rPr>
          <w:iCs/>
        </w:rPr>
        <w:t>23</w:t>
      </w:r>
      <w:r w:rsidRPr="00805C24">
        <w:t>(7)</w:t>
      </w:r>
      <w:r w:rsidR="000911C0">
        <w:t>:</w:t>
      </w:r>
      <w:r w:rsidRPr="00805C24">
        <w:t xml:space="preserve"> 773-782.</w:t>
      </w:r>
    </w:p>
    <w:p w14:paraId="267DE74F" w14:textId="77777777" w:rsidR="00257930" w:rsidRPr="00A850DC" w:rsidRDefault="00257930" w:rsidP="00113868">
      <w:pPr>
        <w:widowControl w:val="0"/>
        <w:suppressAutoHyphens w:val="0"/>
        <w:autoSpaceDE w:val="0"/>
        <w:autoSpaceDN w:val="0"/>
        <w:adjustRightInd w:val="0"/>
        <w:spacing w:line="480" w:lineRule="auto"/>
        <w:ind w:left="720" w:hanging="720"/>
        <w:rPr>
          <w:color w:val="000000"/>
          <w:shd w:val="clear" w:color="auto" w:fill="FFFFFF"/>
        </w:rPr>
      </w:pPr>
      <w:r>
        <w:rPr>
          <w:color w:val="000000"/>
          <w:shd w:val="clear" w:color="auto" w:fill="FFFFFF"/>
        </w:rPr>
        <w:t>*</w:t>
      </w:r>
      <w:r w:rsidRPr="00A850DC">
        <w:rPr>
          <w:color w:val="000000"/>
          <w:shd w:val="clear" w:color="auto" w:fill="FFFFFF"/>
        </w:rPr>
        <w:t xml:space="preserve">Beaton, A. M., </w:t>
      </w:r>
      <w:proofErr w:type="spellStart"/>
      <w:r w:rsidRPr="00A850DC">
        <w:rPr>
          <w:color w:val="000000"/>
          <w:shd w:val="clear" w:color="auto" w:fill="FFFFFF"/>
        </w:rPr>
        <w:t>Tougas</w:t>
      </w:r>
      <w:proofErr w:type="spellEnd"/>
      <w:r w:rsidRPr="00A850DC">
        <w:rPr>
          <w:color w:val="000000"/>
          <w:shd w:val="clear" w:color="auto" w:fill="FFFFFF"/>
        </w:rPr>
        <w:t xml:space="preserve">, F., </w:t>
      </w:r>
      <w:proofErr w:type="spellStart"/>
      <w:r w:rsidRPr="00A850DC">
        <w:rPr>
          <w:color w:val="000000"/>
          <w:shd w:val="clear" w:color="auto" w:fill="FFFFFF"/>
        </w:rPr>
        <w:t>Rinfret</w:t>
      </w:r>
      <w:proofErr w:type="spellEnd"/>
      <w:r w:rsidRPr="00A850DC">
        <w:rPr>
          <w:color w:val="000000"/>
          <w:shd w:val="clear" w:color="auto" w:fill="FFFFFF"/>
        </w:rPr>
        <w:t>, N. and Monger, T. 2014</w:t>
      </w:r>
      <w:r>
        <w:rPr>
          <w:color w:val="000000"/>
          <w:shd w:val="clear" w:color="auto" w:fill="FFFFFF"/>
        </w:rPr>
        <w:t>.</w:t>
      </w:r>
      <w:r w:rsidRPr="00A850DC">
        <w:rPr>
          <w:color w:val="000000"/>
          <w:shd w:val="clear" w:color="auto" w:fill="FFFFFF"/>
        </w:rPr>
        <w:t xml:space="preserve"> The psychological disengagement model among women in science, engineering, and technology. </w:t>
      </w:r>
      <w:r w:rsidRPr="00A850DC">
        <w:rPr>
          <w:i/>
          <w:color w:val="000000"/>
          <w:shd w:val="clear" w:color="auto" w:fill="FFFFFF"/>
        </w:rPr>
        <w:t>British Journal of Social Psychology</w:t>
      </w:r>
      <w:r>
        <w:rPr>
          <w:i/>
          <w:color w:val="000000"/>
          <w:shd w:val="clear" w:color="auto" w:fill="FFFFFF"/>
        </w:rPr>
        <w:t xml:space="preserve">, </w:t>
      </w:r>
      <w:r w:rsidRPr="003763DF">
        <w:rPr>
          <w:color w:val="000000"/>
          <w:shd w:val="clear" w:color="auto" w:fill="FFFFFF"/>
        </w:rPr>
        <w:t>54</w:t>
      </w:r>
      <w:r w:rsidR="000911C0">
        <w:rPr>
          <w:color w:val="000000"/>
          <w:shd w:val="clear" w:color="auto" w:fill="FFFFFF"/>
        </w:rPr>
        <w:t>:</w:t>
      </w:r>
      <w:r>
        <w:rPr>
          <w:color w:val="000000"/>
          <w:shd w:val="clear" w:color="auto" w:fill="FFFFFF"/>
        </w:rPr>
        <w:t xml:space="preserve"> 465-482</w:t>
      </w:r>
      <w:r w:rsidRPr="00A850DC">
        <w:rPr>
          <w:color w:val="000000"/>
          <w:shd w:val="clear" w:color="auto" w:fill="FFFFFF"/>
        </w:rPr>
        <w:t xml:space="preserve">. </w:t>
      </w:r>
    </w:p>
    <w:p w14:paraId="471F8429" w14:textId="77777777" w:rsidR="00257930" w:rsidRPr="004E2863" w:rsidRDefault="00257930" w:rsidP="00D549E9">
      <w:pPr>
        <w:widowControl w:val="0"/>
        <w:suppressAutoHyphens w:val="0"/>
        <w:autoSpaceDE w:val="0"/>
        <w:autoSpaceDN w:val="0"/>
        <w:adjustRightInd w:val="0"/>
        <w:spacing w:line="480" w:lineRule="auto"/>
        <w:ind w:left="720" w:hanging="720"/>
        <w:rPr>
          <w:lang w:eastAsia="en-US"/>
        </w:rPr>
      </w:pPr>
      <w:proofErr w:type="spellStart"/>
      <w:r w:rsidRPr="004E2863">
        <w:rPr>
          <w:lang w:eastAsia="en-US"/>
        </w:rPr>
        <w:t>Benokraitis</w:t>
      </w:r>
      <w:proofErr w:type="spellEnd"/>
      <w:r w:rsidRPr="004E2863">
        <w:rPr>
          <w:lang w:eastAsia="en-US"/>
        </w:rPr>
        <w:t xml:space="preserve">, N. V., &amp; Feagin, J. R. 1995. </w:t>
      </w:r>
      <w:r w:rsidRPr="004E2863">
        <w:rPr>
          <w:i/>
          <w:iCs/>
          <w:lang w:eastAsia="en-US"/>
        </w:rPr>
        <w:t>Modern sexism: Blatant, subtle, and covert discrimination</w:t>
      </w:r>
      <w:r w:rsidRPr="004E2863">
        <w:rPr>
          <w:lang w:eastAsia="en-US"/>
        </w:rPr>
        <w:t xml:space="preserve"> (2nd ed.). Englewood Cliffs, NJ: Prentice-Hall.</w:t>
      </w:r>
    </w:p>
    <w:p w14:paraId="1F1DF728" w14:textId="77777777" w:rsidR="00257930" w:rsidRPr="00805C24" w:rsidRDefault="00257930" w:rsidP="00D549E9">
      <w:pPr>
        <w:widowControl w:val="0"/>
        <w:suppressAutoHyphens w:val="0"/>
        <w:autoSpaceDE w:val="0"/>
        <w:autoSpaceDN w:val="0"/>
        <w:adjustRightInd w:val="0"/>
        <w:spacing w:line="480" w:lineRule="auto"/>
        <w:ind w:left="720" w:hanging="720"/>
      </w:pPr>
      <w:r w:rsidRPr="008B37BE">
        <w:t>*</w:t>
      </w:r>
      <w:proofErr w:type="spellStart"/>
      <w:r w:rsidRPr="008B37BE">
        <w:t>Blau</w:t>
      </w:r>
      <w:proofErr w:type="spellEnd"/>
      <w:r w:rsidRPr="008B37BE">
        <w:t xml:space="preserve">, G., Tatum, D. S., Ward-Cook, K., </w:t>
      </w:r>
      <w:proofErr w:type="spellStart"/>
      <w:r w:rsidRPr="008B37BE">
        <w:t>Dobria</w:t>
      </w:r>
      <w:proofErr w:type="spellEnd"/>
      <w:r w:rsidRPr="008B37BE">
        <w:t xml:space="preserve">, L., &amp; McCoy, K. 2005. Testing for time-based correlates of perceived gender discrimination. </w:t>
      </w:r>
      <w:r w:rsidRPr="008B37BE">
        <w:rPr>
          <w:i/>
          <w:iCs/>
        </w:rPr>
        <w:t>Journal of Allied Health</w:t>
      </w:r>
      <w:r w:rsidRPr="008B37BE">
        <w:t xml:space="preserve">, </w:t>
      </w:r>
      <w:r w:rsidRPr="003763DF">
        <w:rPr>
          <w:iCs/>
        </w:rPr>
        <w:t>34</w:t>
      </w:r>
      <w:r w:rsidRPr="008B37BE">
        <w:t>(3)</w:t>
      </w:r>
      <w:r w:rsidR="000911C0">
        <w:t>:</w:t>
      </w:r>
      <w:r w:rsidRPr="008B37BE">
        <w:t xml:space="preserve"> 130-</w:t>
      </w:r>
      <w:r w:rsidRPr="00805C24">
        <w:t>137.</w:t>
      </w:r>
    </w:p>
    <w:p w14:paraId="5B9F8056" w14:textId="77777777" w:rsidR="00257930" w:rsidRPr="00805C24" w:rsidRDefault="00257930" w:rsidP="00D549E9">
      <w:pPr>
        <w:widowControl w:val="0"/>
        <w:suppressAutoHyphens w:val="0"/>
        <w:autoSpaceDE w:val="0"/>
        <w:autoSpaceDN w:val="0"/>
        <w:adjustRightInd w:val="0"/>
        <w:spacing w:line="480" w:lineRule="auto"/>
        <w:ind w:left="720" w:hanging="720"/>
      </w:pPr>
      <w:r w:rsidRPr="00805C24">
        <w:t>*Bowen, P., Edwards, P., &amp; Lingard, H. 201</w:t>
      </w:r>
      <w:r>
        <w:t>3</w:t>
      </w:r>
      <w:r w:rsidRPr="00805C24">
        <w:t xml:space="preserve">. Workplace stress </w:t>
      </w:r>
      <w:r>
        <w:t>among</w:t>
      </w:r>
      <w:r w:rsidRPr="00805C24">
        <w:t xml:space="preserve"> construction professionals in South Africa. </w:t>
      </w:r>
      <w:r>
        <w:rPr>
          <w:i/>
          <w:iCs/>
        </w:rPr>
        <w:t xml:space="preserve">Engineering, </w:t>
      </w:r>
      <w:r w:rsidRPr="00805C24">
        <w:rPr>
          <w:i/>
          <w:iCs/>
        </w:rPr>
        <w:t xml:space="preserve">Construction and </w:t>
      </w:r>
      <w:r>
        <w:rPr>
          <w:i/>
          <w:iCs/>
        </w:rPr>
        <w:t xml:space="preserve">Architectural </w:t>
      </w:r>
      <w:r w:rsidRPr="00805C24">
        <w:rPr>
          <w:i/>
          <w:iCs/>
        </w:rPr>
        <w:t>Management</w:t>
      </w:r>
      <w:r w:rsidRPr="00805C24">
        <w:t xml:space="preserve">, </w:t>
      </w:r>
      <w:r w:rsidRPr="003763DF">
        <w:rPr>
          <w:iCs/>
        </w:rPr>
        <w:lastRenderedPageBreak/>
        <w:t>20</w:t>
      </w:r>
      <w:r>
        <w:t>(6</w:t>
      </w:r>
      <w:r w:rsidR="000911C0">
        <w:t>):</w:t>
      </w:r>
      <w:r w:rsidRPr="00805C24">
        <w:t xml:space="preserve"> </w:t>
      </w:r>
      <w:r>
        <w:t>620</w:t>
      </w:r>
      <w:r w:rsidRPr="00805C24">
        <w:t>-</w:t>
      </w:r>
      <w:r>
        <w:t>635</w:t>
      </w:r>
      <w:r w:rsidRPr="00805C24">
        <w:t>.</w:t>
      </w:r>
    </w:p>
    <w:p w14:paraId="110B5609" w14:textId="77777777" w:rsidR="00257930" w:rsidRPr="00805C24" w:rsidRDefault="00257930" w:rsidP="00D549E9">
      <w:pPr>
        <w:widowControl w:val="0"/>
        <w:suppressAutoHyphens w:val="0"/>
        <w:autoSpaceDE w:val="0"/>
        <w:autoSpaceDN w:val="0"/>
        <w:adjustRightInd w:val="0"/>
        <w:spacing w:line="480" w:lineRule="auto"/>
        <w:ind w:left="720" w:hanging="720"/>
      </w:pPr>
      <w:r w:rsidRPr="00805C24">
        <w:t>Boyd, A. 1997. Employee traps</w:t>
      </w:r>
      <w:r w:rsidR="0022590C">
        <w:t>-</w:t>
      </w:r>
      <w:r w:rsidRPr="00805C24">
        <w:t xml:space="preserve">corruption in the workplace. </w:t>
      </w:r>
      <w:r w:rsidRPr="00805C24">
        <w:rPr>
          <w:i/>
          <w:iCs/>
        </w:rPr>
        <w:t>Management Review</w:t>
      </w:r>
      <w:r w:rsidRPr="00805C24">
        <w:t xml:space="preserve">, </w:t>
      </w:r>
      <w:r w:rsidRPr="003763DF">
        <w:t>86</w:t>
      </w:r>
      <w:r w:rsidR="000911C0">
        <w:t>:</w:t>
      </w:r>
      <w:r w:rsidRPr="00805C24">
        <w:t xml:space="preserve"> 9. </w:t>
      </w:r>
    </w:p>
    <w:p w14:paraId="1FE96D04" w14:textId="708DFA9D" w:rsidR="00131A3B" w:rsidRPr="00131A3B" w:rsidRDefault="00131A3B" w:rsidP="00131A3B">
      <w:pPr>
        <w:widowControl w:val="0"/>
        <w:suppressAutoHyphens w:val="0"/>
        <w:spacing w:line="480" w:lineRule="auto"/>
        <w:ind w:left="720" w:hanging="720"/>
        <w:rPr>
          <w:lang w:eastAsia="en-US"/>
        </w:rPr>
      </w:pPr>
      <w:proofErr w:type="spellStart"/>
      <w:r w:rsidRPr="00131A3B">
        <w:rPr>
          <w:lang w:eastAsia="en-US"/>
        </w:rPr>
        <w:t>Brannick</w:t>
      </w:r>
      <w:proofErr w:type="spellEnd"/>
      <w:r w:rsidRPr="00131A3B">
        <w:rPr>
          <w:lang w:eastAsia="en-US"/>
        </w:rPr>
        <w:t xml:space="preserve">, M. T., &amp; Hall, S. M. 2001. </w:t>
      </w:r>
      <w:r w:rsidRPr="00452202">
        <w:rPr>
          <w:i/>
          <w:lang w:eastAsia="en-US"/>
        </w:rPr>
        <w:t>Reducing bias in the Schmidt-Hunter meta-analysis</w:t>
      </w:r>
      <w:r w:rsidR="007E2043">
        <w:rPr>
          <w:lang w:eastAsia="en-US"/>
        </w:rPr>
        <w:t>.</w:t>
      </w:r>
      <w:r w:rsidRPr="00131A3B">
        <w:rPr>
          <w:lang w:eastAsia="en-US"/>
        </w:rPr>
        <w:t xml:space="preserve"> Poster presented at the 16</w:t>
      </w:r>
      <w:r w:rsidR="007156F0">
        <w:rPr>
          <w:lang w:eastAsia="en-US"/>
        </w:rPr>
        <w:t>th</w:t>
      </w:r>
      <w:r w:rsidRPr="00131A3B">
        <w:rPr>
          <w:lang w:eastAsia="en-US"/>
        </w:rPr>
        <w:t xml:space="preserve"> annual conference of the Society for Industrial and Organizational Psychology, San Diego, CA. Retrieved from http://luna.cas.usf.edu/%7Embrannic/files/conf/siopk.htm</w:t>
      </w:r>
    </w:p>
    <w:p w14:paraId="7AF0553B" w14:textId="77777777" w:rsidR="00257930" w:rsidRPr="004E0424" w:rsidRDefault="00257930" w:rsidP="00D549E9">
      <w:pPr>
        <w:widowControl w:val="0"/>
        <w:suppressAutoHyphens w:val="0"/>
        <w:spacing w:line="480" w:lineRule="auto"/>
        <w:ind w:left="720" w:hanging="720"/>
        <w:rPr>
          <w:lang w:eastAsia="en-US"/>
        </w:rPr>
      </w:pPr>
      <w:r w:rsidRPr="004E0424">
        <w:rPr>
          <w:lang w:eastAsia="en-US"/>
        </w:rPr>
        <w:t xml:space="preserve">Brew, F. P., &amp; Cairns, D. R. 2004. Do culture or situational constraints determine choice of direct or indirect styles of intercultural workplace conflicts? </w:t>
      </w:r>
      <w:r w:rsidRPr="004E0424">
        <w:rPr>
          <w:i/>
          <w:lang w:eastAsia="en-US"/>
        </w:rPr>
        <w:t xml:space="preserve">International Journal of Intercultural Relations, </w:t>
      </w:r>
      <w:r w:rsidR="000911C0">
        <w:rPr>
          <w:lang w:eastAsia="en-US"/>
        </w:rPr>
        <w:t>28(5):</w:t>
      </w:r>
      <w:r w:rsidRPr="004E0424">
        <w:rPr>
          <w:lang w:eastAsia="en-US"/>
        </w:rPr>
        <w:t xml:space="preserve"> 331-352.</w:t>
      </w:r>
    </w:p>
    <w:p w14:paraId="7102C0F3" w14:textId="77777777" w:rsidR="00257930" w:rsidRPr="00522CD1" w:rsidRDefault="00257930" w:rsidP="00D549E9">
      <w:pPr>
        <w:widowControl w:val="0"/>
        <w:suppressAutoHyphens w:val="0"/>
        <w:spacing w:line="480" w:lineRule="auto"/>
        <w:ind w:left="720" w:hanging="720"/>
        <w:rPr>
          <w:lang w:eastAsia="en-US"/>
        </w:rPr>
      </w:pPr>
      <w:r w:rsidRPr="00522CD1">
        <w:rPr>
          <w:lang w:eastAsia="en-US"/>
        </w:rPr>
        <w:t xml:space="preserve">Brown, H. A., &amp; Ford, D. L. 1977. An exploratory analysis of discrimination in the employment of Black MBA graduates. </w:t>
      </w:r>
      <w:r w:rsidRPr="00522CD1">
        <w:rPr>
          <w:i/>
          <w:iCs/>
          <w:lang w:eastAsia="en-US"/>
        </w:rPr>
        <w:t xml:space="preserve">Journal </w:t>
      </w:r>
      <w:r>
        <w:rPr>
          <w:i/>
          <w:iCs/>
          <w:lang w:eastAsia="en-US"/>
        </w:rPr>
        <w:t>o</w:t>
      </w:r>
      <w:r w:rsidRPr="00522CD1">
        <w:rPr>
          <w:i/>
          <w:iCs/>
          <w:lang w:eastAsia="en-US"/>
        </w:rPr>
        <w:t xml:space="preserve">f Applied Psychology, </w:t>
      </w:r>
      <w:r w:rsidRPr="00A00D59">
        <w:rPr>
          <w:iCs/>
          <w:lang w:eastAsia="en-US"/>
        </w:rPr>
        <w:t>62(1)</w:t>
      </w:r>
      <w:r w:rsidR="000911C0">
        <w:rPr>
          <w:iCs/>
          <w:lang w:eastAsia="en-US"/>
        </w:rPr>
        <w:t>:</w:t>
      </w:r>
      <w:r w:rsidRPr="00522CD1">
        <w:rPr>
          <w:lang w:eastAsia="en-US"/>
        </w:rPr>
        <w:t xml:space="preserve"> 50</w:t>
      </w:r>
      <w:r w:rsidR="000911C0">
        <w:rPr>
          <w:lang w:eastAsia="en-US"/>
        </w:rPr>
        <w:t>-56</w:t>
      </w:r>
      <w:r w:rsidRPr="00522CD1">
        <w:rPr>
          <w:lang w:eastAsia="en-US"/>
        </w:rPr>
        <w:t>.</w:t>
      </w:r>
    </w:p>
    <w:p w14:paraId="11B128AF" w14:textId="77777777" w:rsidR="00257930" w:rsidRPr="00A54567" w:rsidRDefault="00257930" w:rsidP="00113868">
      <w:pPr>
        <w:widowControl w:val="0"/>
        <w:suppressAutoHyphens w:val="0"/>
        <w:spacing w:line="480" w:lineRule="auto"/>
        <w:ind w:left="720" w:hanging="720"/>
        <w:rPr>
          <w:lang w:eastAsia="en-US"/>
        </w:rPr>
      </w:pPr>
      <w:r w:rsidRPr="00A54567">
        <w:rPr>
          <w:lang w:eastAsia="en-US"/>
        </w:rPr>
        <w:t xml:space="preserve">Bryk, A. S., &amp; </w:t>
      </w:r>
      <w:proofErr w:type="spellStart"/>
      <w:r w:rsidRPr="00A54567">
        <w:rPr>
          <w:lang w:eastAsia="en-US"/>
        </w:rPr>
        <w:t>Raudenbush</w:t>
      </w:r>
      <w:proofErr w:type="spellEnd"/>
      <w:r w:rsidRPr="00A54567">
        <w:rPr>
          <w:lang w:eastAsia="en-US"/>
        </w:rPr>
        <w:t xml:space="preserve">, S. W. 1992. </w:t>
      </w:r>
      <w:r w:rsidRPr="00A54567">
        <w:rPr>
          <w:i/>
          <w:iCs/>
          <w:lang w:eastAsia="en-US"/>
        </w:rPr>
        <w:t xml:space="preserve">Hierarchical linear models: Applications and data analysis methods. </w:t>
      </w:r>
      <w:smartTag w:uri="urn:schemas-microsoft-com:office:smarttags" w:element="place">
        <w:smartTag w:uri="urn:schemas-microsoft-com:office:smarttags" w:element="City">
          <w:r w:rsidRPr="00A54567">
            <w:rPr>
              <w:lang w:eastAsia="en-US"/>
            </w:rPr>
            <w:t>Newbury Park</w:t>
          </w:r>
        </w:smartTag>
        <w:r w:rsidRPr="00A54567">
          <w:rPr>
            <w:lang w:eastAsia="en-US"/>
          </w:rPr>
          <w:t xml:space="preserve">, </w:t>
        </w:r>
        <w:smartTag w:uri="urn:schemas-microsoft-com:office:smarttags" w:element="State">
          <w:r w:rsidRPr="00A54567">
            <w:rPr>
              <w:lang w:eastAsia="en-US"/>
            </w:rPr>
            <w:t>CA</w:t>
          </w:r>
        </w:smartTag>
      </w:smartTag>
      <w:r w:rsidRPr="00A54567">
        <w:rPr>
          <w:lang w:eastAsia="en-US"/>
        </w:rPr>
        <w:t xml:space="preserve">: Sage. </w:t>
      </w:r>
    </w:p>
    <w:p w14:paraId="54728589" w14:textId="51394789" w:rsidR="00257930" w:rsidRPr="00805C24" w:rsidRDefault="00257930" w:rsidP="00D549E9">
      <w:pPr>
        <w:widowControl w:val="0"/>
        <w:suppressAutoHyphens w:val="0"/>
        <w:spacing w:line="480" w:lineRule="auto"/>
        <w:ind w:left="720" w:hanging="720"/>
      </w:pPr>
      <w:r w:rsidRPr="00805C24">
        <w:rPr>
          <w:lang w:eastAsia="en-US"/>
        </w:rPr>
        <w:t>*</w:t>
      </w:r>
      <w:r w:rsidRPr="00805C24">
        <w:t xml:space="preserve">Buchanan, N. T. 2002. </w:t>
      </w:r>
      <w:r w:rsidRPr="00452202">
        <w:rPr>
          <w:i/>
        </w:rPr>
        <w:t>Examining the impact of racial harassment on sexually harassed African American women</w:t>
      </w:r>
      <w:r w:rsidRPr="00805C24">
        <w:t xml:space="preserve">. Doctoral dissertation. Retrieved from ProQuest Dissertations and Theses database. (UMI No. 3070268). </w:t>
      </w:r>
    </w:p>
    <w:p w14:paraId="4879A8F1" w14:textId="77777777" w:rsidR="00257930" w:rsidRDefault="00257930" w:rsidP="00D549E9">
      <w:pPr>
        <w:pStyle w:val="CommentText"/>
        <w:widowControl w:val="0"/>
        <w:spacing w:line="480" w:lineRule="auto"/>
        <w:ind w:left="720" w:hanging="720"/>
        <w:rPr>
          <w:sz w:val="24"/>
          <w:szCs w:val="24"/>
        </w:rPr>
      </w:pPr>
      <w:r w:rsidRPr="00805C24">
        <w:rPr>
          <w:sz w:val="24"/>
          <w:szCs w:val="24"/>
        </w:rPr>
        <w:t xml:space="preserve">*Burke, R. J., &amp; Mikkelsen, A. 2005. Gender issues in policing: </w:t>
      </w:r>
      <w:r>
        <w:rPr>
          <w:sz w:val="24"/>
          <w:szCs w:val="24"/>
        </w:rPr>
        <w:t>D</w:t>
      </w:r>
      <w:r w:rsidRPr="00805C24">
        <w:rPr>
          <w:sz w:val="24"/>
          <w:szCs w:val="24"/>
        </w:rPr>
        <w:t xml:space="preserve">o they matter? </w:t>
      </w:r>
      <w:r w:rsidRPr="00805C24">
        <w:rPr>
          <w:i/>
          <w:iCs/>
          <w:sz w:val="24"/>
          <w:szCs w:val="24"/>
        </w:rPr>
        <w:t>Women in Management Review</w:t>
      </w:r>
      <w:r w:rsidRPr="00805C24">
        <w:rPr>
          <w:sz w:val="24"/>
          <w:szCs w:val="24"/>
        </w:rPr>
        <w:t xml:space="preserve">, </w:t>
      </w:r>
      <w:r w:rsidRPr="003763DF">
        <w:rPr>
          <w:iCs/>
          <w:sz w:val="24"/>
          <w:szCs w:val="24"/>
        </w:rPr>
        <w:t>20</w:t>
      </w:r>
      <w:r w:rsidR="000911C0">
        <w:rPr>
          <w:sz w:val="24"/>
          <w:szCs w:val="24"/>
        </w:rPr>
        <w:t>(2):</w:t>
      </w:r>
      <w:r w:rsidRPr="00805C24">
        <w:rPr>
          <w:sz w:val="24"/>
          <w:szCs w:val="24"/>
        </w:rPr>
        <w:t xml:space="preserve"> 133-143.</w:t>
      </w:r>
    </w:p>
    <w:p w14:paraId="7E530D06" w14:textId="77777777" w:rsidR="00257930" w:rsidRPr="00655A20" w:rsidRDefault="00257930" w:rsidP="00D549E9">
      <w:pPr>
        <w:pStyle w:val="EndNoteBibliography"/>
        <w:widowControl w:val="0"/>
        <w:spacing w:after="0" w:line="480" w:lineRule="auto"/>
        <w:ind w:left="720" w:hanging="720"/>
        <w:rPr>
          <w:rFonts w:ascii="Times New Roman" w:hAnsi="Times New Roman" w:cs="Times New Roman"/>
          <w:sz w:val="24"/>
          <w:szCs w:val="24"/>
        </w:rPr>
      </w:pPr>
      <w:r w:rsidRPr="00655A20">
        <w:rPr>
          <w:rFonts w:ascii="Times New Roman" w:hAnsi="Times New Roman" w:cs="Times New Roman"/>
          <w:sz w:val="24"/>
          <w:szCs w:val="24"/>
        </w:rPr>
        <w:t xml:space="preserve">Cantisano, G. T., Domínguez, J. F. M., &amp; Depolo, M. 2008. Perceived sexual harassment at work: Meta-analysis and structural model of antecedents and consequences. </w:t>
      </w:r>
      <w:r w:rsidRPr="00655A20">
        <w:rPr>
          <w:rFonts w:ascii="Times New Roman" w:hAnsi="Times New Roman" w:cs="Times New Roman"/>
          <w:i/>
          <w:sz w:val="24"/>
          <w:szCs w:val="24"/>
        </w:rPr>
        <w:t xml:space="preserve">The Spanish Journal of Psychology, </w:t>
      </w:r>
      <w:r w:rsidRPr="003763DF">
        <w:rPr>
          <w:rFonts w:ascii="Times New Roman" w:hAnsi="Times New Roman" w:cs="Times New Roman"/>
          <w:sz w:val="24"/>
          <w:szCs w:val="24"/>
        </w:rPr>
        <w:t>11</w:t>
      </w:r>
      <w:r w:rsidR="000911C0">
        <w:rPr>
          <w:rFonts w:ascii="Times New Roman" w:hAnsi="Times New Roman" w:cs="Times New Roman"/>
          <w:sz w:val="24"/>
          <w:szCs w:val="24"/>
        </w:rPr>
        <w:t>:</w:t>
      </w:r>
      <w:r w:rsidRPr="00655A20">
        <w:rPr>
          <w:rFonts w:ascii="Times New Roman" w:hAnsi="Times New Roman" w:cs="Times New Roman"/>
          <w:sz w:val="24"/>
          <w:szCs w:val="24"/>
        </w:rPr>
        <w:t xml:space="preserve"> 207-218.</w:t>
      </w:r>
    </w:p>
    <w:p w14:paraId="53279976" w14:textId="77777777" w:rsidR="00F81DB8" w:rsidRPr="00D9579E" w:rsidRDefault="00257930" w:rsidP="00D549E9">
      <w:pPr>
        <w:pStyle w:val="CommentText"/>
        <w:widowControl w:val="0"/>
        <w:spacing w:line="480" w:lineRule="auto"/>
        <w:ind w:left="720" w:hanging="720"/>
        <w:rPr>
          <w:sz w:val="24"/>
          <w:szCs w:val="24"/>
        </w:rPr>
      </w:pPr>
      <w:r w:rsidRPr="00D9579E">
        <w:rPr>
          <w:sz w:val="24"/>
          <w:szCs w:val="24"/>
        </w:rPr>
        <w:t xml:space="preserve">Castilla, E. J. 2008. Gender, race, and meritocracy in organizational careers. </w:t>
      </w:r>
      <w:r w:rsidRPr="00D9579E">
        <w:rPr>
          <w:i/>
          <w:iCs/>
          <w:sz w:val="24"/>
          <w:szCs w:val="24"/>
        </w:rPr>
        <w:t xml:space="preserve">American Journal of Sociology, </w:t>
      </w:r>
      <w:r w:rsidRPr="000911C0">
        <w:rPr>
          <w:iCs/>
          <w:sz w:val="24"/>
          <w:szCs w:val="24"/>
        </w:rPr>
        <w:t>113(6)</w:t>
      </w:r>
      <w:r w:rsidRPr="00D9579E">
        <w:rPr>
          <w:sz w:val="24"/>
          <w:szCs w:val="24"/>
        </w:rPr>
        <w:t>: 1479-1526.</w:t>
      </w:r>
    </w:p>
    <w:p w14:paraId="31372E7E" w14:textId="77777777" w:rsidR="00F81DB8" w:rsidRPr="00655A20" w:rsidRDefault="00257930" w:rsidP="00113868">
      <w:pPr>
        <w:pStyle w:val="CommentText"/>
        <w:spacing w:line="480" w:lineRule="auto"/>
        <w:ind w:left="720" w:hanging="720"/>
        <w:rPr>
          <w:sz w:val="24"/>
          <w:szCs w:val="24"/>
        </w:rPr>
      </w:pPr>
      <w:r w:rsidRPr="00971305">
        <w:rPr>
          <w:sz w:val="24"/>
          <w:szCs w:val="24"/>
        </w:rPr>
        <w:lastRenderedPageBreak/>
        <w:t>Chan, D. K. S., Lam, C. B., Chow, S. Y., &amp; Cheung, S. F. 2008. Examining the job-related,</w:t>
      </w:r>
      <w:r w:rsidRPr="00655A20">
        <w:rPr>
          <w:sz w:val="24"/>
          <w:szCs w:val="24"/>
        </w:rPr>
        <w:t xml:space="preserve"> psychological, and physical outcomes of workplace sexual harassment: A meta-analytic review. </w:t>
      </w:r>
      <w:r w:rsidRPr="00655A20">
        <w:rPr>
          <w:i/>
          <w:sz w:val="24"/>
          <w:szCs w:val="24"/>
        </w:rPr>
        <w:t xml:space="preserve">Psychology of Women Quarterly, </w:t>
      </w:r>
      <w:r w:rsidRPr="003763DF">
        <w:rPr>
          <w:sz w:val="24"/>
          <w:szCs w:val="24"/>
        </w:rPr>
        <w:t>32</w:t>
      </w:r>
      <w:r w:rsidR="000911C0">
        <w:rPr>
          <w:sz w:val="24"/>
          <w:szCs w:val="24"/>
        </w:rPr>
        <w:t>:</w:t>
      </w:r>
      <w:r w:rsidRPr="00655A20">
        <w:rPr>
          <w:sz w:val="24"/>
          <w:szCs w:val="24"/>
        </w:rPr>
        <w:t xml:space="preserve"> 362-376.</w:t>
      </w:r>
    </w:p>
    <w:p w14:paraId="2CFF5D75" w14:textId="77777777" w:rsidR="00257930" w:rsidRPr="001B1138" w:rsidRDefault="00257930" w:rsidP="00113868">
      <w:pPr>
        <w:widowControl w:val="0"/>
        <w:suppressAutoHyphens w:val="0"/>
        <w:autoSpaceDE w:val="0"/>
        <w:autoSpaceDN w:val="0"/>
        <w:adjustRightInd w:val="0"/>
        <w:spacing w:line="480" w:lineRule="auto"/>
        <w:ind w:left="720" w:hanging="720"/>
        <w:rPr>
          <w:lang w:eastAsia="en-US"/>
        </w:rPr>
      </w:pPr>
      <w:proofErr w:type="spellStart"/>
      <w:r w:rsidRPr="001B1138">
        <w:rPr>
          <w:lang w:eastAsia="en-US"/>
        </w:rPr>
        <w:t>Chrobot</w:t>
      </w:r>
      <w:proofErr w:type="spellEnd"/>
      <w:r w:rsidRPr="001B1138">
        <w:rPr>
          <w:lang w:eastAsia="en-US"/>
        </w:rPr>
        <w:t xml:space="preserve">-Mason, D. L. 2003. Keeping the promise: Psychological contract violations for minority employees. </w:t>
      </w:r>
      <w:r w:rsidRPr="001B1138">
        <w:rPr>
          <w:i/>
          <w:iCs/>
          <w:lang w:eastAsia="en-US"/>
        </w:rPr>
        <w:t xml:space="preserve">Journal of Managerial Psychology, </w:t>
      </w:r>
      <w:r w:rsidRPr="009B42E9">
        <w:rPr>
          <w:iCs/>
          <w:lang w:eastAsia="en-US"/>
        </w:rPr>
        <w:t>18(1)</w:t>
      </w:r>
      <w:r w:rsidR="000911C0">
        <w:rPr>
          <w:iCs/>
          <w:lang w:eastAsia="en-US"/>
        </w:rPr>
        <w:t>:</w:t>
      </w:r>
      <w:r w:rsidRPr="001B1138">
        <w:rPr>
          <w:lang w:eastAsia="en-US"/>
        </w:rPr>
        <w:t xml:space="preserve"> 22-45.</w:t>
      </w:r>
    </w:p>
    <w:p w14:paraId="5BB1287F" w14:textId="77777777" w:rsidR="00257930" w:rsidRPr="00805C24" w:rsidRDefault="00257930" w:rsidP="00113868">
      <w:pPr>
        <w:widowControl w:val="0"/>
        <w:suppressAutoHyphens w:val="0"/>
        <w:autoSpaceDE w:val="0"/>
        <w:autoSpaceDN w:val="0"/>
        <w:adjustRightInd w:val="0"/>
        <w:spacing w:line="480" w:lineRule="auto"/>
        <w:ind w:left="720" w:hanging="720"/>
        <w:rPr>
          <w:lang w:eastAsia="en-US"/>
        </w:rPr>
      </w:pPr>
      <w:r w:rsidRPr="00805C24">
        <w:rPr>
          <w:lang w:eastAsia="en-US"/>
        </w:rPr>
        <w:t xml:space="preserve">Cohen, J. 1988. </w:t>
      </w:r>
      <w:r w:rsidRPr="00805C24">
        <w:rPr>
          <w:i/>
          <w:lang w:eastAsia="en-US"/>
        </w:rPr>
        <w:t>Statistical power analysis for the behavioral sciences</w:t>
      </w:r>
      <w:r w:rsidRPr="00805C24">
        <w:rPr>
          <w:lang w:eastAsia="en-US"/>
        </w:rPr>
        <w:t xml:space="preserve"> (2nd ed</w:t>
      </w:r>
      <w:r>
        <w:rPr>
          <w:lang w:eastAsia="en-US"/>
        </w:rPr>
        <w:t>.</w:t>
      </w:r>
      <w:r w:rsidRPr="00805C24">
        <w:rPr>
          <w:lang w:eastAsia="en-US"/>
        </w:rPr>
        <w:t>). Hillsdale, NJ: Erlbaum.</w:t>
      </w:r>
    </w:p>
    <w:p w14:paraId="366B658E" w14:textId="24F65915" w:rsidR="00257930" w:rsidRPr="00805C24" w:rsidRDefault="00257930" w:rsidP="00D549E9">
      <w:pPr>
        <w:widowControl w:val="0"/>
        <w:suppressAutoHyphens w:val="0"/>
        <w:spacing w:line="480" w:lineRule="auto"/>
        <w:ind w:left="720" w:hanging="720"/>
      </w:pPr>
      <w:r w:rsidRPr="00805C24">
        <w:rPr>
          <w:lang w:eastAsia="en-US"/>
        </w:rPr>
        <w:t>*</w:t>
      </w:r>
      <w:r w:rsidRPr="00805C24">
        <w:t xml:space="preserve">Cornejo, J. M. 2007. </w:t>
      </w:r>
      <w:r w:rsidRPr="00452202">
        <w:rPr>
          <w:i/>
        </w:rPr>
        <w:t>An examination of the relationships among perceived gender discrimination, work motivation, and performance</w:t>
      </w:r>
      <w:r w:rsidRPr="00805C24">
        <w:t xml:space="preserve">. Doctoral dissertation. Retrieved from ProQuest Dissertations and Theses database. (UMI No. 3377804). </w:t>
      </w:r>
    </w:p>
    <w:p w14:paraId="5123D51F" w14:textId="77777777" w:rsidR="00257930" w:rsidRPr="00F75E83" w:rsidRDefault="00257930" w:rsidP="00D549E9">
      <w:pPr>
        <w:widowControl w:val="0"/>
        <w:spacing w:line="480" w:lineRule="auto"/>
        <w:ind w:left="720" w:hanging="720"/>
      </w:pPr>
      <w:r w:rsidRPr="00F75E83">
        <w:t xml:space="preserve">Cox, T. H., Jr. 1994. </w:t>
      </w:r>
      <w:r w:rsidRPr="00F75E83">
        <w:rPr>
          <w:i/>
          <w:iCs/>
        </w:rPr>
        <w:t>Cultural diversity in organizations: Theory, research and practice</w:t>
      </w:r>
      <w:r w:rsidRPr="00F75E83">
        <w:t>. San Francisco, CA: Berrett-Koehler.</w:t>
      </w:r>
    </w:p>
    <w:p w14:paraId="66B3EC9D" w14:textId="77777777" w:rsidR="00257930" w:rsidRPr="00805C24" w:rsidRDefault="00257930" w:rsidP="00D549E9">
      <w:pPr>
        <w:widowControl w:val="0"/>
        <w:spacing w:line="480" w:lineRule="auto"/>
        <w:ind w:left="720" w:hanging="720"/>
      </w:pPr>
      <w:r w:rsidRPr="00805C24">
        <w:t xml:space="preserve">Crosby, F. J. 1976. A model of egoistical relative deprivation. </w:t>
      </w:r>
      <w:r w:rsidRPr="00805C24">
        <w:rPr>
          <w:i/>
        </w:rPr>
        <w:t>Psychological Review</w:t>
      </w:r>
      <w:r w:rsidRPr="00805C24">
        <w:t xml:space="preserve">, </w:t>
      </w:r>
      <w:r w:rsidRPr="003763DF">
        <w:t>83</w:t>
      </w:r>
      <w:r w:rsidR="000911C0">
        <w:t>:</w:t>
      </w:r>
      <w:r w:rsidRPr="00805C24">
        <w:t xml:space="preserve"> 85-113. </w:t>
      </w:r>
    </w:p>
    <w:p w14:paraId="1F892186" w14:textId="77777777" w:rsidR="00257930" w:rsidRPr="00805C24" w:rsidRDefault="00257930" w:rsidP="00D549E9">
      <w:pPr>
        <w:widowControl w:val="0"/>
        <w:spacing w:line="480" w:lineRule="auto"/>
        <w:ind w:left="720" w:hanging="720"/>
      </w:pPr>
      <w:r w:rsidRPr="00805C24">
        <w:t xml:space="preserve">Crosby, F. J. 1984. Relative deprivation in organizational settings. </w:t>
      </w:r>
      <w:r w:rsidRPr="00805C24">
        <w:rPr>
          <w:i/>
        </w:rPr>
        <w:t xml:space="preserve">Research in Organizational Behavior, </w:t>
      </w:r>
      <w:r w:rsidRPr="003763DF">
        <w:t>6</w:t>
      </w:r>
      <w:r w:rsidR="000911C0">
        <w:t>:</w:t>
      </w:r>
      <w:r w:rsidRPr="00805C24">
        <w:t xml:space="preserve"> 51-93.</w:t>
      </w:r>
    </w:p>
    <w:p w14:paraId="6AD7C707" w14:textId="77777777" w:rsidR="00257930" w:rsidRPr="003C3E00" w:rsidRDefault="00257930" w:rsidP="00D549E9">
      <w:pPr>
        <w:widowControl w:val="0"/>
        <w:spacing w:line="480" w:lineRule="auto"/>
        <w:ind w:left="720" w:hanging="720"/>
        <w:rPr>
          <w:rFonts w:eastAsiaTheme="minorHAnsi"/>
          <w:lang w:eastAsia="en-US"/>
        </w:rPr>
      </w:pPr>
      <w:r>
        <w:rPr>
          <w:rFonts w:eastAsiaTheme="minorHAnsi"/>
          <w:lang w:eastAsia="en-US"/>
        </w:rPr>
        <w:t>*</w:t>
      </w:r>
      <w:r w:rsidRPr="00981D22">
        <w:rPr>
          <w:rFonts w:eastAsiaTheme="minorHAnsi"/>
          <w:lang w:eastAsia="en-US"/>
        </w:rPr>
        <w:t>Dalton, D</w:t>
      </w:r>
      <w:r>
        <w:rPr>
          <w:rFonts w:eastAsiaTheme="minorHAnsi"/>
          <w:lang w:eastAsia="en-US"/>
        </w:rPr>
        <w:t>.</w:t>
      </w:r>
      <w:r w:rsidRPr="00981D22">
        <w:rPr>
          <w:rFonts w:eastAsiaTheme="minorHAnsi"/>
          <w:lang w:eastAsia="en-US"/>
        </w:rPr>
        <w:t xml:space="preserve"> W.</w:t>
      </w:r>
      <w:r>
        <w:rPr>
          <w:rFonts w:eastAsiaTheme="minorHAnsi"/>
          <w:lang w:eastAsia="en-US"/>
        </w:rPr>
        <w:t>,</w:t>
      </w:r>
      <w:r w:rsidRPr="00981D22">
        <w:rPr>
          <w:rFonts w:eastAsiaTheme="minorHAnsi"/>
          <w:lang w:eastAsia="en-US"/>
        </w:rPr>
        <w:t xml:space="preserve"> Cohen, J</w:t>
      </w:r>
      <w:r>
        <w:rPr>
          <w:rFonts w:eastAsiaTheme="minorHAnsi"/>
          <w:lang w:eastAsia="en-US"/>
        </w:rPr>
        <w:t>.</w:t>
      </w:r>
      <w:r w:rsidRPr="00981D22">
        <w:rPr>
          <w:rFonts w:eastAsiaTheme="minorHAnsi"/>
          <w:lang w:eastAsia="en-US"/>
        </w:rPr>
        <w:t xml:space="preserve"> R. Harp, N</w:t>
      </w:r>
      <w:r>
        <w:rPr>
          <w:rFonts w:eastAsiaTheme="minorHAnsi"/>
          <w:lang w:eastAsia="en-US"/>
        </w:rPr>
        <w:t>., &amp;</w:t>
      </w:r>
      <w:r w:rsidRPr="00981D22">
        <w:rPr>
          <w:rFonts w:eastAsiaTheme="minorHAnsi"/>
          <w:lang w:eastAsia="en-US"/>
        </w:rPr>
        <w:t xml:space="preserve"> McMillan, J</w:t>
      </w:r>
      <w:r>
        <w:rPr>
          <w:rFonts w:eastAsiaTheme="minorHAnsi"/>
          <w:lang w:eastAsia="en-US"/>
        </w:rPr>
        <w:t>.</w:t>
      </w:r>
      <w:r w:rsidRPr="00981D22">
        <w:rPr>
          <w:rFonts w:eastAsiaTheme="minorHAnsi"/>
          <w:lang w:eastAsia="en-US"/>
        </w:rPr>
        <w:t xml:space="preserve"> J.</w:t>
      </w:r>
      <w:r>
        <w:rPr>
          <w:rFonts w:eastAsiaTheme="minorHAnsi"/>
          <w:lang w:eastAsia="en-US"/>
        </w:rPr>
        <w:t xml:space="preserve"> 2014.</w:t>
      </w:r>
      <w:r w:rsidRPr="00981D22">
        <w:rPr>
          <w:rFonts w:eastAsiaTheme="minorHAnsi"/>
          <w:lang w:eastAsia="en-US"/>
        </w:rPr>
        <w:t xml:space="preserve"> Antecedents and </w:t>
      </w:r>
      <w:r>
        <w:rPr>
          <w:rFonts w:eastAsiaTheme="minorHAnsi"/>
          <w:lang w:eastAsia="en-US"/>
        </w:rPr>
        <w:t>c</w:t>
      </w:r>
      <w:r w:rsidRPr="00981D22">
        <w:rPr>
          <w:rFonts w:eastAsiaTheme="minorHAnsi"/>
          <w:lang w:eastAsia="en-US"/>
        </w:rPr>
        <w:t xml:space="preserve">onsequences of </w:t>
      </w:r>
      <w:r>
        <w:rPr>
          <w:rFonts w:eastAsiaTheme="minorHAnsi"/>
          <w:lang w:eastAsia="en-US"/>
        </w:rPr>
        <w:t>p</w:t>
      </w:r>
      <w:r w:rsidRPr="00981D22">
        <w:rPr>
          <w:rFonts w:eastAsiaTheme="minorHAnsi"/>
          <w:lang w:eastAsia="en-US"/>
        </w:rPr>
        <w:t xml:space="preserve">erceived </w:t>
      </w:r>
      <w:r>
        <w:rPr>
          <w:rFonts w:eastAsiaTheme="minorHAnsi"/>
          <w:lang w:eastAsia="en-US"/>
        </w:rPr>
        <w:t>g</w:t>
      </w:r>
      <w:r w:rsidRPr="00981D22">
        <w:rPr>
          <w:rFonts w:eastAsiaTheme="minorHAnsi"/>
          <w:lang w:eastAsia="en-US"/>
        </w:rPr>
        <w:t xml:space="preserve">ender </w:t>
      </w:r>
      <w:r>
        <w:rPr>
          <w:rFonts w:eastAsiaTheme="minorHAnsi"/>
          <w:lang w:eastAsia="en-US"/>
        </w:rPr>
        <w:t>d</w:t>
      </w:r>
      <w:r w:rsidRPr="00981D22">
        <w:rPr>
          <w:rFonts w:eastAsiaTheme="minorHAnsi"/>
          <w:lang w:eastAsia="en-US"/>
        </w:rPr>
        <w:t xml:space="preserve">iscrimination in the </w:t>
      </w:r>
      <w:r>
        <w:rPr>
          <w:rFonts w:eastAsiaTheme="minorHAnsi"/>
          <w:lang w:eastAsia="en-US"/>
        </w:rPr>
        <w:t>audit p</w:t>
      </w:r>
      <w:r w:rsidRPr="00981D22">
        <w:rPr>
          <w:rFonts w:eastAsiaTheme="minorHAnsi"/>
          <w:lang w:eastAsia="en-US"/>
        </w:rPr>
        <w:t xml:space="preserve">rofession. </w:t>
      </w:r>
      <w:r w:rsidRPr="000342CA">
        <w:rPr>
          <w:rFonts w:eastAsiaTheme="minorHAnsi"/>
          <w:i/>
          <w:lang w:eastAsia="en-US"/>
        </w:rPr>
        <w:t xml:space="preserve">Auditing: A Journal of </w:t>
      </w:r>
      <w:r w:rsidRPr="003C3E00">
        <w:rPr>
          <w:rFonts w:eastAsiaTheme="minorHAnsi"/>
          <w:i/>
          <w:lang w:eastAsia="en-US"/>
        </w:rPr>
        <w:t>Practice &amp; Theory,</w:t>
      </w:r>
      <w:r w:rsidRPr="003C3E00">
        <w:rPr>
          <w:rFonts w:eastAsiaTheme="minorHAnsi"/>
          <w:lang w:eastAsia="en-US"/>
        </w:rPr>
        <w:t xml:space="preserve"> </w:t>
      </w:r>
      <w:r w:rsidRPr="003763DF">
        <w:rPr>
          <w:rFonts w:eastAsiaTheme="minorHAnsi"/>
          <w:lang w:eastAsia="en-US"/>
        </w:rPr>
        <w:t>33</w:t>
      </w:r>
      <w:r w:rsidR="000911C0">
        <w:rPr>
          <w:rFonts w:eastAsiaTheme="minorHAnsi"/>
          <w:lang w:eastAsia="en-US"/>
        </w:rPr>
        <w:t>:</w:t>
      </w:r>
      <w:r w:rsidRPr="003C3E00">
        <w:rPr>
          <w:rFonts w:eastAsiaTheme="minorHAnsi"/>
          <w:lang w:eastAsia="en-US"/>
        </w:rPr>
        <w:t xml:space="preserve"> 1-32. </w:t>
      </w:r>
    </w:p>
    <w:p w14:paraId="72FB3DF8" w14:textId="77777777" w:rsidR="00257930" w:rsidRPr="0038554A" w:rsidRDefault="00257930" w:rsidP="00113868">
      <w:pPr>
        <w:widowControl w:val="0"/>
        <w:suppressAutoHyphens w:val="0"/>
        <w:autoSpaceDE w:val="0"/>
        <w:autoSpaceDN w:val="0"/>
        <w:adjustRightInd w:val="0"/>
        <w:spacing w:line="480" w:lineRule="auto"/>
        <w:ind w:left="720" w:hanging="720"/>
        <w:rPr>
          <w:rFonts w:eastAsiaTheme="minorHAnsi"/>
          <w:lang w:eastAsia="en-US"/>
        </w:rPr>
      </w:pPr>
      <w:r w:rsidRPr="0038554A">
        <w:rPr>
          <w:rFonts w:eastAsiaTheme="minorHAnsi"/>
          <w:lang w:eastAsia="en-US"/>
        </w:rPr>
        <w:t>Danna, K., &amp; Griffin, R. W. 1999. Health and well-being in the workplace: A review and synthesis of the literature. </w:t>
      </w:r>
      <w:r w:rsidRPr="0038554A">
        <w:rPr>
          <w:rFonts w:eastAsiaTheme="minorHAnsi"/>
          <w:i/>
          <w:iCs/>
          <w:lang w:eastAsia="en-US"/>
        </w:rPr>
        <w:t xml:space="preserve">Journal of </w:t>
      </w:r>
      <w:r>
        <w:rPr>
          <w:rFonts w:eastAsiaTheme="minorHAnsi"/>
          <w:i/>
          <w:iCs/>
          <w:lang w:eastAsia="en-US"/>
        </w:rPr>
        <w:t>M</w:t>
      </w:r>
      <w:r w:rsidRPr="0038554A">
        <w:rPr>
          <w:rFonts w:eastAsiaTheme="minorHAnsi"/>
          <w:i/>
          <w:iCs/>
          <w:lang w:eastAsia="en-US"/>
        </w:rPr>
        <w:t>anagement</w:t>
      </w:r>
      <w:r w:rsidRPr="0038554A">
        <w:rPr>
          <w:rFonts w:eastAsiaTheme="minorHAnsi"/>
          <w:lang w:eastAsia="en-US"/>
        </w:rPr>
        <w:t>, </w:t>
      </w:r>
      <w:r w:rsidRPr="000911C0">
        <w:rPr>
          <w:rFonts w:eastAsiaTheme="minorHAnsi"/>
          <w:iCs/>
          <w:lang w:eastAsia="en-US"/>
        </w:rPr>
        <w:t>25</w:t>
      </w:r>
      <w:r w:rsidRPr="0038554A">
        <w:rPr>
          <w:rFonts w:eastAsiaTheme="minorHAnsi"/>
          <w:lang w:eastAsia="en-US"/>
        </w:rPr>
        <w:t>(3)</w:t>
      </w:r>
      <w:r w:rsidR="000911C0">
        <w:rPr>
          <w:rFonts w:eastAsiaTheme="minorHAnsi"/>
          <w:lang w:eastAsia="en-US"/>
        </w:rPr>
        <w:t>:</w:t>
      </w:r>
      <w:r w:rsidRPr="0038554A">
        <w:rPr>
          <w:rFonts w:eastAsiaTheme="minorHAnsi"/>
          <w:lang w:eastAsia="en-US"/>
        </w:rPr>
        <w:t xml:space="preserve"> 357-384.</w:t>
      </w:r>
    </w:p>
    <w:p w14:paraId="2B8538A0" w14:textId="77777777" w:rsidR="00257930" w:rsidRPr="00365598" w:rsidRDefault="00257930" w:rsidP="00113868">
      <w:pPr>
        <w:widowControl w:val="0"/>
        <w:suppressAutoHyphens w:val="0"/>
        <w:autoSpaceDE w:val="0"/>
        <w:autoSpaceDN w:val="0"/>
        <w:adjustRightInd w:val="0"/>
        <w:spacing w:line="480" w:lineRule="auto"/>
        <w:ind w:left="720" w:hanging="720"/>
        <w:rPr>
          <w:rFonts w:eastAsiaTheme="minorHAnsi"/>
          <w:lang w:eastAsia="en-US"/>
        </w:rPr>
      </w:pPr>
      <w:proofErr w:type="spellStart"/>
      <w:r w:rsidRPr="009466E3">
        <w:rPr>
          <w:rFonts w:eastAsiaTheme="minorHAnsi"/>
          <w:lang w:eastAsia="en-US"/>
        </w:rPr>
        <w:t>DelCampo</w:t>
      </w:r>
      <w:proofErr w:type="spellEnd"/>
      <w:r w:rsidRPr="009466E3">
        <w:rPr>
          <w:rFonts w:eastAsiaTheme="minorHAnsi"/>
          <w:lang w:eastAsia="en-US"/>
        </w:rPr>
        <w:t xml:space="preserve">, R. G., Rogers, K. M., &amp; Jacobson, K. J. 2010. </w:t>
      </w:r>
      <w:r w:rsidRPr="00365598">
        <w:rPr>
          <w:rFonts w:eastAsiaTheme="minorHAnsi"/>
          <w:lang w:eastAsia="en-US"/>
        </w:rPr>
        <w:t xml:space="preserve">Psychological contract breach, perceived discrimination, and ethnic identification in Hispanic business professionals. </w:t>
      </w:r>
      <w:r w:rsidRPr="00365598">
        <w:rPr>
          <w:rFonts w:eastAsiaTheme="minorHAnsi"/>
          <w:i/>
          <w:iCs/>
          <w:lang w:eastAsia="en-US"/>
        </w:rPr>
        <w:t xml:space="preserve">Journal of Managerial Issues, </w:t>
      </w:r>
      <w:r w:rsidRPr="00E64851">
        <w:rPr>
          <w:rFonts w:eastAsiaTheme="minorHAnsi"/>
          <w:iCs/>
          <w:lang w:eastAsia="en-US"/>
        </w:rPr>
        <w:t>22</w:t>
      </w:r>
      <w:r w:rsidR="000911C0">
        <w:rPr>
          <w:rFonts w:eastAsiaTheme="minorHAnsi"/>
          <w:iCs/>
          <w:lang w:eastAsia="en-US"/>
        </w:rPr>
        <w:t>:</w:t>
      </w:r>
      <w:r w:rsidRPr="00365598">
        <w:rPr>
          <w:rFonts w:eastAsiaTheme="minorHAnsi"/>
          <w:lang w:eastAsia="en-US"/>
        </w:rPr>
        <w:t xml:space="preserve"> 220-238.</w:t>
      </w:r>
    </w:p>
    <w:p w14:paraId="30DA0A66" w14:textId="77777777" w:rsidR="00257930" w:rsidRPr="00805C24" w:rsidRDefault="00257930" w:rsidP="00113868">
      <w:pPr>
        <w:widowControl w:val="0"/>
        <w:suppressAutoHyphens w:val="0"/>
        <w:autoSpaceDE w:val="0"/>
        <w:autoSpaceDN w:val="0"/>
        <w:adjustRightInd w:val="0"/>
        <w:spacing w:line="480" w:lineRule="auto"/>
        <w:ind w:left="720" w:hanging="720"/>
      </w:pPr>
      <w:proofErr w:type="spellStart"/>
      <w:r w:rsidRPr="009466E3">
        <w:lastRenderedPageBreak/>
        <w:t>Dipboye</w:t>
      </w:r>
      <w:proofErr w:type="spellEnd"/>
      <w:r w:rsidRPr="009466E3">
        <w:t xml:space="preserve">, R. L., &amp; Colella, A. 2005. </w:t>
      </w:r>
      <w:r w:rsidRPr="003F2836">
        <w:rPr>
          <w:i/>
          <w:iCs/>
        </w:rPr>
        <w:t>Discrimination at work: The psychological and</w:t>
      </w:r>
      <w:r w:rsidRPr="00805C24">
        <w:rPr>
          <w:i/>
          <w:iCs/>
        </w:rPr>
        <w:t xml:space="preserve"> organizational bases</w:t>
      </w:r>
      <w:r w:rsidRPr="00805C24">
        <w:t>. Mahwah, NJ: Lawrence Erlbaum Associates.</w:t>
      </w:r>
    </w:p>
    <w:p w14:paraId="37CDAE57" w14:textId="77777777" w:rsidR="00257930" w:rsidRPr="00536014" w:rsidRDefault="00257930" w:rsidP="00113868">
      <w:pPr>
        <w:widowControl w:val="0"/>
        <w:suppressAutoHyphens w:val="0"/>
        <w:autoSpaceDE w:val="0"/>
        <w:autoSpaceDN w:val="0"/>
        <w:adjustRightInd w:val="0"/>
        <w:spacing w:line="480" w:lineRule="auto"/>
        <w:ind w:left="720" w:hanging="720"/>
        <w:rPr>
          <w:lang w:eastAsia="en-US"/>
        </w:rPr>
      </w:pPr>
      <w:r w:rsidRPr="00536014">
        <w:rPr>
          <w:lang w:eastAsia="en-US"/>
        </w:rPr>
        <w:t xml:space="preserve">Dixon, H. 2014, April 22. </w:t>
      </w:r>
      <w:r w:rsidRPr="00452202">
        <w:rPr>
          <w:iCs/>
          <w:lang w:eastAsia="en-US"/>
        </w:rPr>
        <w:t>University sued for sex discrimination by 26 men</w:t>
      </w:r>
      <w:r w:rsidRPr="00536014">
        <w:rPr>
          <w:lang w:eastAsia="en-US"/>
        </w:rPr>
        <w:t xml:space="preserve">. Retrieved from </w:t>
      </w:r>
      <w:r w:rsidRPr="00F41BC4">
        <w:rPr>
          <w:lang w:eastAsia="en-US"/>
        </w:rPr>
        <w:t>http://www.telegraph.co.uk/finance/jobs/10780828/University-sued-for-sex-</w:t>
      </w:r>
      <w:r w:rsidRPr="00536014">
        <w:rPr>
          <w:lang w:eastAsia="en-US"/>
        </w:rPr>
        <w:t>discrimination-by-26-men.html</w:t>
      </w:r>
    </w:p>
    <w:p w14:paraId="68A61DCA" w14:textId="77777777" w:rsidR="00257930" w:rsidRPr="00401F7D" w:rsidRDefault="00257930" w:rsidP="00D549E9">
      <w:pPr>
        <w:widowControl w:val="0"/>
        <w:suppressAutoHyphens w:val="0"/>
        <w:autoSpaceDE w:val="0"/>
        <w:autoSpaceDN w:val="0"/>
        <w:adjustRightInd w:val="0"/>
        <w:spacing w:line="480" w:lineRule="auto"/>
        <w:ind w:left="720" w:hanging="720"/>
        <w:rPr>
          <w:lang w:val="de-DE" w:eastAsia="en-US"/>
        </w:rPr>
      </w:pPr>
      <w:r w:rsidRPr="00401F7D">
        <w:rPr>
          <w:lang w:eastAsia="en-US"/>
        </w:rPr>
        <w:t xml:space="preserve">Doty, D. H., &amp; Glick, W. H. 1998. Common methods bias: Does common methods variance really bias results? </w:t>
      </w:r>
      <w:r w:rsidRPr="00401F7D">
        <w:rPr>
          <w:i/>
          <w:lang w:eastAsia="en-US"/>
        </w:rPr>
        <w:t xml:space="preserve">Organizational Research Methods, </w:t>
      </w:r>
      <w:r w:rsidRPr="003F6FB5">
        <w:rPr>
          <w:lang w:eastAsia="en-US"/>
        </w:rPr>
        <w:t>1</w:t>
      </w:r>
      <w:r w:rsidR="000911C0">
        <w:rPr>
          <w:lang w:eastAsia="en-US"/>
        </w:rPr>
        <w:t>:</w:t>
      </w:r>
      <w:r w:rsidRPr="00401F7D">
        <w:rPr>
          <w:lang w:eastAsia="en-US"/>
        </w:rPr>
        <w:t xml:space="preserve"> 374-406.</w:t>
      </w:r>
    </w:p>
    <w:p w14:paraId="47D1B496" w14:textId="77777777" w:rsidR="00257930" w:rsidRDefault="00257930" w:rsidP="00113868">
      <w:pPr>
        <w:widowControl w:val="0"/>
        <w:suppressAutoHyphens w:val="0"/>
        <w:spacing w:line="480" w:lineRule="auto"/>
        <w:ind w:left="720" w:hanging="720"/>
      </w:pPr>
      <w:r>
        <w:t xml:space="preserve">Economist Intelligence Unit. 2012. </w:t>
      </w:r>
      <w:r w:rsidRPr="00452202">
        <w:t>Women’s Economic Opportunity 2012</w:t>
      </w:r>
      <w:r>
        <w:t xml:space="preserve">. Retrieved from </w:t>
      </w:r>
      <w:r w:rsidRPr="004143AA">
        <w:t>https://www.eiu.com/public/topical_report.aspx?campaignid=weoindex2012</w:t>
      </w:r>
      <w:r>
        <w:t xml:space="preserve"> (June 15, 2015).</w:t>
      </w:r>
    </w:p>
    <w:p w14:paraId="5309AF0A" w14:textId="77777777" w:rsidR="00257930" w:rsidRPr="00536014" w:rsidRDefault="00257930" w:rsidP="00113868">
      <w:pPr>
        <w:widowControl w:val="0"/>
        <w:suppressAutoHyphens w:val="0"/>
        <w:autoSpaceDE w:val="0"/>
        <w:autoSpaceDN w:val="0"/>
        <w:adjustRightInd w:val="0"/>
        <w:spacing w:line="480" w:lineRule="auto"/>
        <w:ind w:left="720" w:hanging="720"/>
        <w:rPr>
          <w:lang w:eastAsia="en-US"/>
        </w:rPr>
      </w:pPr>
      <w:r w:rsidRPr="00536014">
        <w:rPr>
          <w:lang w:eastAsia="en-US"/>
        </w:rPr>
        <w:t xml:space="preserve">Edwards, S. 2015, January 25. </w:t>
      </w:r>
      <w:r w:rsidRPr="00452202">
        <w:rPr>
          <w:iCs/>
          <w:lang w:eastAsia="en-US"/>
        </w:rPr>
        <w:t>Male employees file sex discrimination lawsuit against Ruby Tuesday</w:t>
      </w:r>
      <w:r w:rsidRPr="00536014">
        <w:rPr>
          <w:lang w:eastAsia="en-US"/>
        </w:rPr>
        <w:t xml:space="preserve">. Retrieved from </w:t>
      </w:r>
      <w:r w:rsidRPr="00F41BC4">
        <w:rPr>
          <w:lang w:eastAsia="en-US"/>
        </w:rPr>
        <w:t>http://jezebel.com/male-employees-file-sex-discrimination-</w:t>
      </w:r>
      <w:r w:rsidRPr="00536014">
        <w:rPr>
          <w:lang w:eastAsia="en-US"/>
        </w:rPr>
        <w:t>lawsuit-against-1681664242</w:t>
      </w:r>
    </w:p>
    <w:p w14:paraId="358CF697" w14:textId="77777777" w:rsidR="00257930" w:rsidRPr="0038554A" w:rsidRDefault="00257930" w:rsidP="00D549E9">
      <w:pPr>
        <w:widowControl w:val="0"/>
        <w:suppressAutoHyphens w:val="0"/>
        <w:autoSpaceDE w:val="0"/>
        <w:autoSpaceDN w:val="0"/>
        <w:adjustRightInd w:val="0"/>
        <w:spacing w:line="480" w:lineRule="auto"/>
        <w:ind w:left="720" w:hanging="720"/>
        <w:rPr>
          <w:lang w:eastAsia="en-US"/>
        </w:rPr>
      </w:pPr>
      <w:bookmarkStart w:id="6" w:name="_Hlk493325227"/>
      <w:proofErr w:type="spellStart"/>
      <w:r w:rsidRPr="0038554A">
        <w:rPr>
          <w:lang w:eastAsia="en-US"/>
        </w:rPr>
        <w:t>Emrich</w:t>
      </w:r>
      <w:proofErr w:type="spellEnd"/>
      <w:r w:rsidRPr="0038554A">
        <w:rPr>
          <w:lang w:eastAsia="en-US"/>
        </w:rPr>
        <w:t xml:space="preserve">, C. G., Denmark, F. L., &amp; Den Hartog, D. N. 2004. Cross-cultural differences in gender egalitarianism: Implications for societies, organizations, and leaders. In R. House, P. </w:t>
      </w:r>
      <w:proofErr w:type="spellStart"/>
      <w:r w:rsidRPr="0038554A">
        <w:rPr>
          <w:lang w:eastAsia="en-US"/>
        </w:rPr>
        <w:t>Hanges</w:t>
      </w:r>
      <w:proofErr w:type="spellEnd"/>
      <w:r w:rsidRPr="0038554A">
        <w:rPr>
          <w:lang w:eastAsia="en-US"/>
        </w:rPr>
        <w:t xml:space="preserve">, M. </w:t>
      </w:r>
      <w:proofErr w:type="spellStart"/>
      <w:r w:rsidRPr="0038554A">
        <w:rPr>
          <w:lang w:eastAsia="en-US"/>
        </w:rPr>
        <w:t>Javidan</w:t>
      </w:r>
      <w:proofErr w:type="spellEnd"/>
      <w:r w:rsidRPr="0038554A">
        <w:rPr>
          <w:lang w:eastAsia="en-US"/>
        </w:rPr>
        <w:t xml:space="preserve">, P. Dorfman, &amp; V. Gupta (Eds.), </w:t>
      </w:r>
      <w:r w:rsidRPr="0038554A">
        <w:rPr>
          <w:i/>
          <w:lang w:eastAsia="en-US"/>
        </w:rPr>
        <w:t xml:space="preserve">Culture, leadership, and organizations: The GLOBE study of 62 societies, </w:t>
      </w:r>
      <w:r w:rsidRPr="0038554A">
        <w:rPr>
          <w:lang w:eastAsia="en-US"/>
        </w:rPr>
        <w:t>(pp. 343-394).</w:t>
      </w:r>
      <w:r>
        <w:rPr>
          <w:lang w:eastAsia="en-US"/>
        </w:rPr>
        <w:t xml:space="preserve"> </w:t>
      </w:r>
      <w:r w:rsidRPr="0038554A">
        <w:rPr>
          <w:lang w:eastAsia="en-US"/>
        </w:rPr>
        <w:t>Sage Publications</w:t>
      </w:r>
      <w:r>
        <w:rPr>
          <w:lang w:eastAsia="en-US"/>
        </w:rPr>
        <w:t>.</w:t>
      </w:r>
      <w:r w:rsidRPr="0038554A">
        <w:rPr>
          <w:lang w:eastAsia="en-US"/>
        </w:rPr>
        <w:t xml:space="preserve"> </w:t>
      </w:r>
    </w:p>
    <w:bookmarkEnd w:id="6"/>
    <w:p w14:paraId="7BDCBE2B" w14:textId="77777777" w:rsidR="00257930" w:rsidRPr="00805C24" w:rsidRDefault="00257930" w:rsidP="00D549E9">
      <w:pPr>
        <w:widowControl w:val="0"/>
        <w:suppressAutoHyphens w:val="0"/>
        <w:autoSpaceDE w:val="0"/>
        <w:autoSpaceDN w:val="0"/>
        <w:adjustRightInd w:val="0"/>
        <w:spacing w:line="480" w:lineRule="auto"/>
        <w:ind w:left="720" w:hanging="720"/>
        <w:rPr>
          <w:lang w:eastAsia="en-US"/>
        </w:rPr>
      </w:pPr>
      <w:r w:rsidRPr="00805C24">
        <w:rPr>
          <w:lang w:eastAsia="en-US"/>
        </w:rPr>
        <w:t>*</w:t>
      </w:r>
      <w:proofErr w:type="spellStart"/>
      <w:r w:rsidRPr="00805C24">
        <w:rPr>
          <w:lang w:eastAsia="en-US"/>
        </w:rPr>
        <w:t>Ensher</w:t>
      </w:r>
      <w:proofErr w:type="spellEnd"/>
      <w:r w:rsidRPr="00805C24">
        <w:rPr>
          <w:lang w:eastAsia="en-US"/>
        </w:rPr>
        <w:t xml:space="preserve">, E. A., Grant-Vallone, E. J., &amp; Donaldson, S. I. 2001. Effects of perceived discrimination on job satisfaction, organizational commitment, organizational citizenship behavior, and grievances. </w:t>
      </w:r>
      <w:r w:rsidRPr="00805C24">
        <w:rPr>
          <w:bCs/>
          <w:i/>
          <w:iCs/>
          <w:lang w:eastAsia="en-US"/>
        </w:rPr>
        <w:t>Human Resource Development Quarterly</w:t>
      </w:r>
      <w:r w:rsidRPr="00805C24">
        <w:rPr>
          <w:lang w:eastAsia="en-US"/>
        </w:rPr>
        <w:t xml:space="preserve">, </w:t>
      </w:r>
      <w:r w:rsidRPr="003763DF">
        <w:rPr>
          <w:lang w:eastAsia="en-US"/>
        </w:rPr>
        <w:t>12</w:t>
      </w:r>
      <w:r w:rsidR="000911C0">
        <w:rPr>
          <w:lang w:eastAsia="en-US"/>
        </w:rPr>
        <w:t>:</w:t>
      </w:r>
      <w:r w:rsidRPr="00805C24">
        <w:rPr>
          <w:lang w:eastAsia="en-US"/>
        </w:rPr>
        <w:t xml:space="preserve"> 53-72.</w:t>
      </w:r>
    </w:p>
    <w:p w14:paraId="5E78641E" w14:textId="77777777" w:rsidR="00D549E9" w:rsidRDefault="00257930" w:rsidP="00D549E9">
      <w:pPr>
        <w:widowControl w:val="0"/>
        <w:autoSpaceDE w:val="0"/>
        <w:spacing w:line="480" w:lineRule="auto"/>
        <w:ind w:left="720" w:hanging="720"/>
      </w:pPr>
      <w:r>
        <w:t xml:space="preserve">Equal Employment Opportunity Commission. 2016. Women in the American workforce. Retrieved from </w:t>
      </w:r>
      <w:r w:rsidRPr="00630E44">
        <w:t>https://www.eeoc.gov/eeoc/statistics/reports/american_experiences/</w:t>
      </w:r>
    </w:p>
    <w:p w14:paraId="4BA5AD56" w14:textId="77777777" w:rsidR="00257930" w:rsidRPr="00805C24" w:rsidRDefault="00257930" w:rsidP="00D549E9">
      <w:pPr>
        <w:widowControl w:val="0"/>
        <w:autoSpaceDE w:val="0"/>
        <w:spacing w:line="480" w:lineRule="auto"/>
        <w:ind w:left="720"/>
      </w:pPr>
      <w:proofErr w:type="spellStart"/>
      <w:r w:rsidRPr="00976F2B">
        <w:t>women.cfm</w:t>
      </w:r>
      <w:proofErr w:type="spellEnd"/>
    </w:p>
    <w:p w14:paraId="2DF79F4C" w14:textId="77777777" w:rsidR="00257930" w:rsidRPr="00805C24" w:rsidRDefault="00257930" w:rsidP="00D549E9">
      <w:pPr>
        <w:widowControl w:val="0"/>
        <w:autoSpaceDE w:val="0"/>
        <w:spacing w:line="480" w:lineRule="auto"/>
        <w:ind w:left="720" w:hanging="720"/>
      </w:pPr>
      <w:r w:rsidRPr="00805C24">
        <w:lastRenderedPageBreak/>
        <w:t xml:space="preserve">Equal Employment Opportunity </w:t>
      </w:r>
      <w:r>
        <w:t xml:space="preserve">Commission. </w:t>
      </w:r>
      <w:r w:rsidRPr="00805C24">
        <w:t>201</w:t>
      </w:r>
      <w:r>
        <w:t>7a</w:t>
      </w:r>
      <w:r w:rsidRPr="00805C24">
        <w:t xml:space="preserve">. </w:t>
      </w:r>
      <w:r w:rsidRPr="00452202">
        <w:rPr>
          <w:iCs/>
        </w:rPr>
        <w:t>Charge statistics FY 1997 through FY 2016</w:t>
      </w:r>
      <w:r w:rsidRPr="00805C24">
        <w:t xml:space="preserve">. Retrieved from </w:t>
      </w:r>
      <w:r w:rsidRPr="00D24FA3">
        <w:t>http://www.eeoc.gov/eeoc/statistics/enforcement/charges.cfm</w:t>
      </w:r>
    </w:p>
    <w:p w14:paraId="0FA70566" w14:textId="77777777" w:rsidR="00257930" w:rsidRDefault="00257930" w:rsidP="00D549E9">
      <w:pPr>
        <w:widowControl w:val="0"/>
        <w:autoSpaceDE w:val="0"/>
        <w:spacing w:line="480" w:lineRule="auto"/>
        <w:ind w:left="720" w:hanging="720"/>
      </w:pPr>
      <w:r w:rsidRPr="00805C24">
        <w:t>Equal Employment Opportunity C</w:t>
      </w:r>
      <w:r>
        <w:t>ommission. 2017b</w:t>
      </w:r>
      <w:r w:rsidRPr="00805C24">
        <w:t xml:space="preserve">. </w:t>
      </w:r>
      <w:r w:rsidRPr="00452202">
        <w:t>Sex-based charges</w:t>
      </w:r>
      <w:r w:rsidRPr="00452202">
        <w:rPr>
          <w:iCs/>
        </w:rPr>
        <w:t xml:space="preserve"> FY 1997 through FY 2016</w:t>
      </w:r>
      <w:r w:rsidRPr="00805C24">
        <w:t xml:space="preserve">. Retrieved from </w:t>
      </w:r>
      <w:r w:rsidRPr="00976F2B">
        <w:t>http://eeoc.gov/eeoc/statistics/enforcement/sex.cfm</w:t>
      </w:r>
    </w:p>
    <w:p w14:paraId="1586C4EB" w14:textId="77777777" w:rsidR="00257930" w:rsidRPr="00B2396C" w:rsidRDefault="00257930" w:rsidP="00113868">
      <w:pPr>
        <w:widowControl w:val="0"/>
        <w:suppressAutoHyphens w:val="0"/>
        <w:autoSpaceDE w:val="0"/>
        <w:autoSpaceDN w:val="0"/>
        <w:adjustRightInd w:val="0"/>
        <w:spacing w:line="480" w:lineRule="auto"/>
        <w:ind w:left="720" w:hanging="720"/>
      </w:pPr>
      <w:r w:rsidRPr="00B2396C">
        <w:t>Evans, M. G. 1985. A Monte Carlo study of the effects of correlated method variance in</w:t>
      </w:r>
      <w:r w:rsidR="00D549E9">
        <w:t xml:space="preserve"> </w:t>
      </w:r>
      <w:r w:rsidRPr="00B2396C">
        <w:t xml:space="preserve">moderated multiple regression analysis. </w:t>
      </w:r>
      <w:r w:rsidRPr="00B2396C">
        <w:rPr>
          <w:i/>
        </w:rPr>
        <w:t>Organizational Behavior &amp; Human</w:t>
      </w:r>
      <w:r w:rsidR="00D549E9">
        <w:rPr>
          <w:i/>
        </w:rPr>
        <w:t xml:space="preserve"> </w:t>
      </w:r>
      <w:r w:rsidRPr="00B2396C">
        <w:rPr>
          <w:i/>
        </w:rPr>
        <w:t>Performance</w:t>
      </w:r>
      <w:r w:rsidRPr="00B2396C">
        <w:t xml:space="preserve">, </w:t>
      </w:r>
      <w:r w:rsidRPr="00E64851">
        <w:t>36</w:t>
      </w:r>
      <w:r w:rsidR="000911C0">
        <w:t>:</w:t>
      </w:r>
      <w:r w:rsidRPr="00B2396C">
        <w:t xml:space="preserve"> 305-323.</w:t>
      </w:r>
    </w:p>
    <w:p w14:paraId="6E3D1AF3" w14:textId="77777777" w:rsidR="00257930" w:rsidRPr="00805C24" w:rsidRDefault="00257930" w:rsidP="00D549E9">
      <w:pPr>
        <w:widowControl w:val="0"/>
        <w:suppressAutoHyphens w:val="0"/>
        <w:autoSpaceDE w:val="0"/>
        <w:autoSpaceDN w:val="0"/>
        <w:adjustRightInd w:val="0"/>
        <w:spacing w:line="480" w:lineRule="auto"/>
        <w:ind w:left="720" w:hanging="720"/>
        <w:rPr>
          <w:lang w:eastAsia="en-US"/>
        </w:rPr>
      </w:pPr>
      <w:r w:rsidRPr="00805C24">
        <w:rPr>
          <w:lang w:eastAsia="en-US"/>
        </w:rPr>
        <w:t xml:space="preserve">*Foley, S., Kidder, D. L., &amp; Powell, G. N. 2002. The perceived glass ceiling and justice perceptions: An investigation of Hispanic law associates. </w:t>
      </w:r>
      <w:r w:rsidRPr="00805C24">
        <w:rPr>
          <w:bCs/>
          <w:i/>
          <w:iCs/>
          <w:lang w:eastAsia="en-US"/>
        </w:rPr>
        <w:t>Journal of Management</w:t>
      </w:r>
      <w:r w:rsidRPr="00805C24">
        <w:rPr>
          <w:lang w:eastAsia="en-US"/>
        </w:rPr>
        <w:t xml:space="preserve">, </w:t>
      </w:r>
      <w:r w:rsidRPr="003763DF">
        <w:rPr>
          <w:lang w:eastAsia="en-US"/>
        </w:rPr>
        <w:t>28</w:t>
      </w:r>
      <w:r w:rsidR="000911C0">
        <w:rPr>
          <w:lang w:eastAsia="en-US"/>
        </w:rPr>
        <w:t>:</w:t>
      </w:r>
      <w:r w:rsidRPr="00805C24">
        <w:rPr>
          <w:lang w:eastAsia="en-US"/>
        </w:rPr>
        <w:t xml:space="preserve"> 471-496.</w:t>
      </w:r>
    </w:p>
    <w:p w14:paraId="393FC33B" w14:textId="77777777" w:rsidR="00257930" w:rsidRPr="00006EC8" w:rsidRDefault="00257930" w:rsidP="00113868">
      <w:pPr>
        <w:widowControl w:val="0"/>
        <w:suppressAutoHyphens w:val="0"/>
        <w:autoSpaceDE w:val="0"/>
        <w:autoSpaceDN w:val="0"/>
        <w:adjustRightInd w:val="0"/>
        <w:spacing w:line="480" w:lineRule="auto"/>
        <w:ind w:left="720" w:hanging="720"/>
        <w:rPr>
          <w:rFonts w:eastAsiaTheme="minorHAnsi"/>
          <w:lang w:eastAsia="en-US"/>
        </w:rPr>
      </w:pPr>
      <w:r w:rsidRPr="00006EC8">
        <w:rPr>
          <w:rFonts w:eastAsiaTheme="minorHAnsi"/>
          <w:lang w:eastAsia="en-US"/>
        </w:rPr>
        <w:t xml:space="preserve">*Foley, S., </w:t>
      </w:r>
      <w:r>
        <w:rPr>
          <w:rFonts w:eastAsiaTheme="minorHAnsi"/>
          <w:lang w:eastAsia="en-US"/>
        </w:rPr>
        <w:t>Hang</w:t>
      </w:r>
      <w:r w:rsidRPr="00006EC8">
        <w:rPr>
          <w:rFonts w:eastAsiaTheme="minorHAnsi"/>
          <w:lang w:eastAsia="en-US"/>
        </w:rPr>
        <w:t>-</w:t>
      </w:r>
      <w:r w:rsidR="00EB6529">
        <w:rPr>
          <w:rFonts w:eastAsiaTheme="minorHAnsi"/>
          <w:lang w:eastAsia="en-US"/>
        </w:rPr>
        <w:t>Y</w:t>
      </w:r>
      <w:r>
        <w:rPr>
          <w:rFonts w:eastAsiaTheme="minorHAnsi"/>
          <w:lang w:eastAsia="en-US"/>
        </w:rPr>
        <w:t>ue, N.</w:t>
      </w:r>
      <w:r w:rsidRPr="00006EC8">
        <w:rPr>
          <w:rFonts w:eastAsiaTheme="minorHAnsi"/>
          <w:lang w:eastAsia="en-US"/>
        </w:rPr>
        <w:t xml:space="preserve">, &amp; </w:t>
      </w:r>
      <w:proofErr w:type="spellStart"/>
      <w:r w:rsidRPr="00006EC8">
        <w:rPr>
          <w:rFonts w:eastAsiaTheme="minorHAnsi"/>
          <w:lang w:eastAsia="en-US"/>
        </w:rPr>
        <w:t>Loi</w:t>
      </w:r>
      <w:proofErr w:type="spellEnd"/>
      <w:r w:rsidRPr="00006EC8">
        <w:rPr>
          <w:rFonts w:eastAsiaTheme="minorHAnsi"/>
          <w:lang w:eastAsia="en-US"/>
        </w:rPr>
        <w:t xml:space="preserve">, R. 2006. Antecedents and consequences of perceived personal gender discrimination: A study of solicitors in Hong Kong. </w:t>
      </w:r>
      <w:r w:rsidRPr="00006EC8">
        <w:rPr>
          <w:rFonts w:eastAsiaTheme="minorHAnsi"/>
          <w:i/>
          <w:iCs/>
          <w:lang w:eastAsia="en-US"/>
        </w:rPr>
        <w:t xml:space="preserve">Sex Roles, </w:t>
      </w:r>
      <w:r w:rsidRPr="003763DF">
        <w:rPr>
          <w:rFonts w:eastAsiaTheme="minorHAnsi"/>
          <w:iCs/>
          <w:lang w:eastAsia="en-US"/>
        </w:rPr>
        <w:t>55</w:t>
      </w:r>
      <w:r w:rsidRPr="00006EC8">
        <w:rPr>
          <w:rFonts w:eastAsiaTheme="minorHAnsi"/>
          <w:lang w:eastAsia="en-US"/>
        </w:rPr>
        <w:t>(3-4)</w:t>
      </w:r>
      <w:r w:rsidR="000911C0">
        <w:rPr>
          <w:rFonts w:eastAsiaTheme="minorHAnsi"/>
          <w:lang w:eastAsia="en-US"/>
        </w:rPr>
        <w:t>:</w:t>
      </w:r>
      <w:r w:rsidRPr="00006EC8">
        <w:rPr>
          <w:rFonts w:eastAsiaTheme="minorHAnsi"/>
          <w:lang w:eastAsia="en-US"/>
        </w:rPr>
        <w:t xml:space="preserve"> 197-208.</w:t>
      </w:r>
    </w:p>
    <w:p w14:paraId="5E317816" w14:textId="77777777" w:rsidR="00257930" w:rsidRPr="00ED6762" w:rsidRDefault="00257930" w:rsidP="00D549E9">
      <w:pPr>
        <w:widowControl w:val="0"/>
        <w:autoSpaceDE w:val="0"/>
        <w:spacing w:line="480" w:lineRule="auto"/>
        <w:ind w:left="720" w:hanging="720"/>
      </w:pPr>
      <w:r w:rsidRPr="00ED6762">
        <w:t xml:space="preserve">George, G., Howard-Grenville, J., Joshi, A., &amp; </w:t>
      </w:r>
      <w:proofErr w:type="spellStart"/>
      <w:r w:rsidRPr="00ED6762">
        <w:t>Tihanyi</w:t>
      </w:r>
      <w:proofErr w:type="spellEnd"/>
      <w:r w:rsidRPr="00ED6762">
        <w:t>, L. 2016. Understanding and tackling societal grand challenges through management research. </w:t>
      </w:r>
      <w:r w:rsidRPr="00ED6762">
        <w:rPr>
          <w:i/>
          <w:iCs/>
        </w:rPr>
        <w:t>Academy of Management Journal</w:t>
      </w:r>
      <w:r w:rsidRPr="00ED6762">
        <w:t>, </w:t>
      </w:r>
      <w:r w:rsidRPr="00E64851">
        <w:rPr>
          <w:iCs/>
        </w:rPr>
        <w:t>59</w:t>
      </w:r>
      <w:r w:rsidRPr="00ED6762">
        <w:t>(6)</w:t>
      </w:r>
      <w:r w:rsidR="000911C0">
        <w:t>:</w:t>
      </w:r>
      <w:r w:rsidRPr="00ED6762">
        <w:t xml:space="preserve"> 1880</w:t>
      </w:r>
      <w:r w:rsidR="00C43AF9">
        <w:t>-1895</w:t>
      </w:r>
      <w:r w:rsidRPr="00ED6762">
        <w:t>.</w:t>
      </w:r>
    </w:p>
    <w:p w14:paraId="2AD8D30A" w14:textId="77777777" w:rsidR="00257930" w:rsidRPr="00805C24" w:rsidRDefault="00257930" w:rsidP="00D549E9">
      <w:pPr>
        <w:widowControl w:val="0"/>
        <w:autoSpaceDE w:val="0"/>
        <w:spacing w:line="480" w:lineRule="auto"/>
        <w:ind w:left="720" w:hanging="720"/>
      </w:pPr>
      <w:r w:rsidRPr="00805C24">
        <w:t xml:space="preserve">*Goldenhar, L. M., Swanson, N. G., Hurrell Jr, J. J., Ruder, A., &amp; </w:t>
      </w:r>
      <w:proofErr w:type="spellStart"/>
      <w:r w:rsidRPr="00805C24">
        <w:t>Deddens</w:t>
      </w:r>
      <w:proofErr w:type="spellEnd"/>
      <w:r w:rsidRPr="00805C24">
        <w:t xml:space="preserve">, J. 1998. Stressors and adverse outcomes for female construction workers. </w:t>
      </w:r>
      <w:r w:rsidRPr="00805C24">
        <w:rPr>
          <w:i/>
          <w:iCs/>
        </w:rPr>
        <w:t>Journal of Occupational Health Psychology</w:t>
      </w:r>
      <w:r w:rsidRPr="00805C24">
        <w:t xml:space="preserve">, </w:t>
      </w:r>
      <w:r w:rsidRPr="003763DF">
        <w:rPr>
          <w:iCs/>
        </w:rPr>
        <w:t>3</w:t>
      </w:r>
      <w:r w:rsidRPr="00805C24">
        <w:t>(1)</w:t>
      </w:r>
      <w:r w:rsidR="000911C0">
        <w:t>:</w:t>
      </w:r>
      <w:r w:rsidRPr="00805C24">
        <w:t xml:space="preserve"> 19</w:t>
      </w:r>
      <w:r w:rsidR="00500201">
        <w:t>-32</w:t>
      </w:r>
      <w:r w:rsidRPr="00805C24">
        <w:t>.</w:t>
      </w:r>
    </w:p>
    <w:p w14:paraId="5B24E173" w14:textId="77777777" w:rsidR="00257930" w:rsidRPr="00805C24" w:rsidRDefault="00257930" w:rsidP="00D549E9">
      <w:pPr>
        <w:widowControl w:val="0"/>
        <w:autoSpaceDE w:val="0"/>
        <w:spacing w:line="480" w:lineRule="auto"/>
        <w:ind w:left="720" w:hanging="720"/>
      </w:pPr>
      <w:r w:rsidRPr="00805C24">
        <w:rPr>
          <w:lang w:val="de-DE"/>
        </w:rPr>
        <w:t xml:space="preserve">Goldman, B., Gutek, B., Stein, J. H., &amp; Lewis, K. 2006. </w:t>
      </w:r>
      <w:r w:rsidRPr="00805C24">
        <w:t xml:space="preserve">Employment discrimination in organizations: Antecedents and consequences. </w:t>
      </w:r>
      <w:r w:rsidRPr="00805C24">
        <w:rPr>
          <w:i/>
          <w:iCs/>
        </w:rPr>
        <w:t xml:space="preserve">Journal of Management, </w:t>
      </w:r>
      <w:r w:rsidRPr="003763DF">
        <w:rPr>
          <w:iCs/>
        </w:rPr>
        <w:t>32</w:t>
      </w:r>
      <w:r w:rsidR="000911C0">
        <w:rPr>
          <w:iCs/>
        </w:rPr>
        <w:t>:</w:t>
      </w:r>
      <w:r w:rsidRPr="00805C24">
        <w:t xml:space="preserve"> 786-830.</w:t>
      </w:r>
    </w:p>
    <w:p w14:paraId="30E9E92C" w14:textId="5C28C6BC" w:rsidR="00257930" w:rsidRPr="009466E3" w:rsidRDefault="00257930" w:rsidP="00113868">
      <w:pPr>
        <w:widowControl w:val="0"/>
        <w:suppressAutoHyphens w:val="0"/>
        <w:autoSpaceDE w:val="0"/>
        <w:autoSpaceDN w:val="0"/>
        <w:adjustRightInd w:val="0"/>
        <w:spacing w:line="480" w:lineRule="auto"/>
        <w:ind w:left="720" w:hanging="720"/>
        <w:rPr>
          <w:lang w:val="es-ES" w:eastAsia="en-US"/>
        </w:rPr>
      </w:pPr>
      <w:r w:rsidRPr="004E0424">
        <w:rPr>
          <w:lang w:eastAsia="en-US"/>
        </w:rPr>
        <w:t xml:space="preserve">Guerin, L. 2016. </w:t>
      </w:r>
      <w:r w:rsidRPr="00452202">
        <w:rPr>
          <w:i/>
          <w:lang w:eastAsia="en-US"/>
        </w:rPr>
        <w:t>The essential guide to workplace investigations</w:t>
      </w:r>
      <w:r w:rsidRPr="004E0424">
        <w:rPr>
          <w:lang w:eastAsia="en-US"/>
        </w:rPr>
        <w:t xml:space="preserve"> (4</w:t>
      </w:r>
      <w:r w:rsidR="007156F0">
        <w:rPr>
          <w:lang w:eastAsia="en-US"/>
        </w:rPr>
        <w:t>th</w:t>
      </w:r>
      <w:r w:rsidRPr="004E0424">
        <w:rPr>
          <w:lang w:eastAsia="en-US"/>
        </w:rPr>
        <w:t xml:space="preserve"> Ed). </w:t>
      </w:r>
      <w:r w:rsidRPr="009466E3">
        <w:rPr>
          <w:lang w:val="es-ES" w:eastAsia="en-US"/>
        </w:rPr>
        <w:t>Berkley, CA: NOLO.</w:t>
      </w:r>
    </w:p>
    <w:p w14:paraId="18A30225" w14:textId="77777777" w:rsidR="00257930" w:rsidRPr="00805C24" w:rsidRDefault="00257930" w:rsidP="00D549E9">
      <w:pPr>
        <w:widowControl w:val="0"/>
        <w:suppressAutoHyphens w:val="0"/>
        <w:autoSpaceDE w:val="0"/>
        <w:autoSpaceDN w:val="0"/>
        <w:adjustRightInd w:val="0"/>
        <w:spacing w:line="480" w:lineRule="auto"/>
        <w:ind w:left="720" w:hanging="720"/>
      </w:pPr>
      <w:r w:rsidRPr="009466E3">
        <w:rPr>
          <w:lang w:val="es-ES"/>
        </w:rPr>
        <w:t>*</w:t>
      </w:r>
      <w:proofErr w:type="spellStart"/>
      <w:r w:rsidRPr="009466E3">
        <w:rPr>
          <w:lang w:val="es-ES"/>
        </w:rPr>
        <w:t>Hang-</w:t>
      </w:r>
      <w:r w:rsidR="00EB6529" w:rsidRPr="009466E3">
        <w:rPr>
          <w:lang w:val="es-ES"/>
        </w:rPr>
        <w:t>Y</w:t>
      </w:r>
      <w:r w:rsidRPr="009466E3">
        <w:rPr>
          <w:lang w:val="es-ES"/>
        </w:rPr>
        <w:t>ue</w:t>
      </w:r>
      <w:proofErr w:type="spellEnd"/>
      <w:r w:rsidRPr="009466E3">
        <w:rPr>
          <w:lang w:val="es-ES"/>
        </w:rPr>
        <w:t xml:space="preserve">, N., Foley, S., &amp; </w:t>
      </w:r>
      <w:proofErr w:type="spellStart"/>
      <w:r w:rsidRPr="009466E3">
        <w:rPr>
          <w:lang w:val="es-ES"/>
        </w:rPr>
        <w:t>Loi</w:t>
      </w:r>
      <w:proofErr w:type="spellEnd"/>
      <w:r w:rsidRPr="009466E3">
        <w:rPr>
          <w:lang w:val="es-ES"/>
        </w:rPr>
        <w:t xml:space="preserve">, R. 2006. </w:t>
      </w:r>
      <w:r w:rsidRPr="00805C24">
        <w:t xml:space="preserve">The effects of cultural types on perceptions of justice and gender inequity in the workplace. </w:t>
      </w:r>
      <w:r w:rsidRPr="00805C24">
        <w:rPr>
          <w:i/>
          <w:iCs/>
        </w:rPr>
        <w:t xml:space="preserve">The International Journal of Human Resource </w:t>
      </w:r>
      <w:r w:rsidRPr="00805C24">
        <w:rPr>
          <w:i/>
          <w:iCs/>
        </w:rPr>
        <w:lastRenderedPageBreak/>
        <w:t>Management</w:t>
      </w:r>
      <w:r w:rsidRPr="00805C24">
        <w:t xml:space="preserve">, </w:t>
      </w:r>
      <w:r w:rsidRPr="003763DF">
        <w:rPr>
          <w:iCs/>
        </w:rPr>
        <w:t>17</w:t>
      </w:r>
      <w:r w:rsidRPr="00805C24">
        <w:t>(6)</w:t>
      </w:r>
      <w:r w:rsidR="000911C0">
        <w:t>:</w:t>
      </w:r>
      <w:r w:rsidRPr="00805C24">
        <w:t xml:space="preserve"> 983-998.</w:t>
      </w:r>
    </w:p>
    <w:p w14:paraId="40961205" w14:textId="77777777" w:rsidR="00257930" w:rsidRPr="004E2863" w:rsidRDefault="00257930" w:rsidP="00D549E9">
      <w:pPr>
        <w:widowControl w:val="0"/>
        <w:suppressAutoHyphens w:val="0"/>
        <w:autoSpaceDE w:val="0"/>
        <w:autoSpaceDN w:val="0"/>
        <w:adjustRightInd w:val="0"/>
        <w:spacing w:line="480" w:lineRule="auto"/>
        <w:ind w:left="720" w:hanging="720"/>
        <w:rPr>
          <w:lang w:eastAsia="en-US"/>
        </w:rPr>
      </w:pPr>
      <w:r w:rsidRPr="004E2863">
        <w:rPr>
          <w:lang w:eastAsia="en-US"/>
        </w:rPr>
        <w:t xml:space="preserve">Heilman, M. E. 2001. Description and prescription: How gender stereotypes prevent women's ascent up the organizational ladder. </w:t>
      </w:r>
      <w:r w:rsidRPr="004E2863">
        <w:rPr>
          <w:i/>
          <w:iCs/>
          <w:lang w:eastAsia="en-US"/>
        </w:rPr>
        <w:t xml:space="preserve">Journal </w:t>
      </w:r>
      <w:r>
        <w:rPr>
          <w:i/>
          <w:iCs/>
          <w:lang w:eastAsia="en-US"/>
        </w:rPr>
        <w:t>o</w:t>
      </w:r>
      <w:r w:rsidRPr="004E2863">
        <w:rPr>
          <w:i/>
          <w:iCs/>
          <w:lang w:eastAsia="en-US"/>
        </w:rPr>
        <w:t xml:space="preserve">f Social Issues, </w:t>
      </w:r>
      <w:r w:rsidRPr="00E64851">
        <w:rPr>
          <w:iCs/>
          <w:lang w:eastAsia="en-US"/>
        </w:rPr>
        <w:t>57(4)</w:t>
      </w:r>
      <w:r w:rsidR="000911C0">
        <w:rPr>
          <w:iCs/>
          <w:lang w:eastAsia="en-US"/>
        </w:rPr>
        <w:t>:</w:t>
      </w:r>
      <w:r w:rsidRPr="004E2863">
        <w:rPr>
          <w:lang w:eastAsia="en-US"/>
        </w:rPr>
        <w:t xml:space="preserve"> 657-674.</w:t>
      </w:r>
    </w:p>
    <w:p w14:paraId="583E15B8" w14:textId="77777777" w:rsidR="00257930" w:rsidRPr="00805C24" w:rsidRDefault="00257930" w:rsidP="00D549E9">
      <w:pPr>
        <w:widowControl w:val="0"/>
        <w:autoSpaceDE w:val="0"/>
        <w:spacing w:line="480" w:lineRule="auto"/>
        <w:ind w:left="720" w:hanging="720"/>
      </w:pPr>
      <w:proofErr w:type="spellStart"/>
      <w:r w:rsidRPr="00805C24">
        <w:t>Herrbach</w:t>
      </w:r>
      <w:proofErr w:type="spellEnd"/>
      <w:r w:rsidRPr="00805C24">
        <w:t xml:space="preserve">, O. 2006. A matter of feeling? The affective tone of organizational commitment and identification. </w:t>
      </w:r>
      <w:r w:rsidRPr="00805C24">
        <w:rPr>
          <w:i/>
          <w:iCs/>
        </w:rPr>
        <w:t xml:space="preserve">Journal of Organizational Behavior, </w:t>
      </w:r>
      <w:r w:rsidRPr="003763DF">
        <w:rPr>
          <w:iCs/>
        </w:rPr>
        <w:t>27</w:t>
      </w:r>
      <w:r w:rsidR="001B1302">
        <w:rPr>
          <w:iCs/>
        </w:rPr>
        <w:t>:</w:t>
      </w:r>
      <w:r w:rsidRPr="00805C24">
        <w:t xml:space="preserve"> 629-643.</w:t>
      </w:r>
    </w:p>
    <w:p w14:paraId="60D40DC2" w14:textId="77777777" w:rsidR="00257930" w:rsidRPr="00805C24" w:rsidRDefault="00257930" w:rsidP="00D549E9">
      <w:pPr>
        <w:widowControl w:val="0"/>
        <w:autoSpaceDE w:val="0"/>
        <w:spacing w:line="480" w:lineRule="auto"/>
        <w:ind w:left="720" w:hanging="720"/>
      </w:pPr>
      <w:proofErr w:type="spellStart"/>
      <w:r w:rsidRPr="00805C24">
        <w:t>Herrbach</w:t>
      </w:r>
      <w:proofErr w:type="spellEnd"/>
      <w:r w:rsidRPr="00805C24">
        <w:t xml:space="preserve">, O., &amp; </w:t>
      </w:r>
      <w:proofErr w:type="spellStart"/>
      <w:r w:rsidRPr="00805C24">
        <w:t>Mignonac</w:t>
      </w:r>
      <w:proofErr w:type="spellEnd"/>
      <w:r w:rsidRPr="00805C24">
        <w:t xml:space="preserve">, K. 2012. Perceived gender discrimination and women’s subjective career success: The moderating role of career anchors. </w:t>
      </w:r>
      <w:r w:rsidRPr="00805C24">
        <w:rPr>
          <w:i/>
          <w:iCs/>
        </w:rPr>
        <w:t xml:space="preserve">Relations </w:t>
      </w:r>
      <w:proofErr w:type="spellStart"/>
      <w:r w:rsidRPr="00805C24">
        <w:rPr>
          <w:i/>
          <w:iCs/>
        </w:rPr>
        <w:t>Industrielles</w:t>
      </w:r>
      <w:proofErr w:type="spellEnd"/>
      <w:r w:rsidRPr="00805C24">
        <w:rPr>
          <w:i/>
          <w:iCs/>
        </w:rPr>
        <w:t>/Industrial Relations</w:t>
      </w:r>
      <w:r w:rsidRPr="00805C24">
        <w:t xml:space="preserve">, </w:t>
      </w:r>
      <w:r w:rsidRPr="003763DF">
        <w:rPr>
          <w:iCs/>
        </w:rPr>
        <w:t>67</w:t>
      </w:r>
      <w:r w:rsidRPr="00805C24">
        <w:t>(1)</w:t>
      </w:r>
      <w:r w:rsidR="000911C0">
        <w:t>:</w:t>
      </w:r>
      <w:r w:rsidRPr="00805C24">
        <w:t xml:space="preserve"> 25-50.</w:t>
      </w:r>
    </w:p>
    <w:p w14:paraId="4220A41E" w14:textId="77777777" w:rsidR="00257930" w:rsidRPr="000342CA" w:rsidRDefault="00257930" w:rsidP="00D549E9">
      <w:pPr>
        <w:widowControl w:val="0"/>
        <w:spacing w:line="480" w:lineRule="auto"/>
        <w:ind w:left="720" w:hanging="720"/>
      </w:pPr>
      <w:r w:rsidRPr="00077998">
        <w:t xml:space="preserve">Hofstede, G. 1980. </w:t>
      </w:r>
      <w:r w:rsidRPr="00077998">
        <w:rPr>
          <w:i/>
        </w:rPr>
        <w:t>Culture’s consequences. International differences in work-related values.</w:t>
      </w:r>
      <w:r w:rsidRPr="000342CA">
        <w:t xml:space="preserve"> Thousand Oaks, CA: Sage.</w:t>
      </w:r>
    </w:p>
    <w:p w14:paraId="7944E82A" w14:textId="420E0EDF" w:rsidR="00257930" w:rsidRPr="00805C24" w:rsidRDefault="00257930" w:rsidP="00113868">
      <w:pPr>
        <w:widowControl w:val="0"/>
        <w:autoSpaceDE w:val="0"/>
        <w:autoSpaceDN w:val="0"/>
        <w:adjustRightInd w:val="0"/>
        <w:spacing w:line="480" w:lineRule="auto"/>
        <w:ind w:left="720" w:hanging="720"/>
        <w:rPr>
          <w:rFonts w:eastAsiaTheme="minorHAnsi"/>
        </w:rPr>
      </w:pPr>
      <w:r w:rsidRPr="00805C24">
        <w:rPr>
          <w:rFonts w:eastAsiaTheme="minorHAnsi"/>
        </w:rPr>
        <w:t xml:space="preserve">House, R. J., </w:t>
      </w:r>
      <w:proofErr w:type="spellStart"/>
      <w:r w:rsidRPr="00805C24">
        <w:rPr>
          <w:rFonts w:eastAsiaTheme="minorHAnsi"/>
        </w:rPr>
        <w:t>Hanges</w:t>
      </w:r>
      <w:proofErr w:type="spellEnd"/>
      <w:r w:rsidRPr="00805C24">
        <w:rPr>
          <w:rFonts w:eastAsiaTheme="minorHAnsi"/>
        </w:rPr>
        <w:t xml:space="preserve">, P. J., </w:t>
      </w:r>
      <w:proofErr w:type="spellStart"/>
      <w:r w:rsidRPr="00805C24">
        <w:rPr>
          <w:rFonts w:eastAsiaTheme="minorHAnsi"/>
        </w:rPr>
        <w:t>Javidan</w:t>
      </w:r>
      <w:proofErr w:type="spellEnd"/>
      <w:r w:rsidRPr="00805C24">
        <w:rPr>
          <w:rFonts w:eastAsiaTheme="minorHAnsi"/>
        </w:rPr>
        <w:t xml:space="preserve">, M., Dorfman, P. W., &amp; Gupta, V. 2004. </w:t>
      </w:r>
      <w:r w:rsidRPr="00805C24">
        <w:rPr>
          <w:rFonts w:eastAsiaTheme="minorHAnsi"/>
          <w:i/>
          <w:iCs/>
        </w:rPr>
        <w:t xml:space="preserve">Culture, </w:t>
      </w:r>
      <w:r>
        <w:rPr>
          <w:rFonts w:eastAsiaTheme="minorHAnsi"/>
          <w:i/>
          <w:iCs/>
        </w:rPr>
        <w:t>l</w:t>
      </w:r>
      <w:r w:rsidRPr="00805C24">
        <w:rPr>
          <w:rFonts w:eastAsiaTheme="minorHAnsi"/>
          <w:i/>
          <w:iCs/>
        </w:rPr>
        <w:t xml:space="preserve">eadership, and </w:t>
      </w:r>
      <w:r>
        <w:rPr>
          <w:rFonts w:eastAsiaTheme="minorHAnsi"/>
          <w:i/>
          <w:iCs/>
        </w:rPr>
        <w:t>o</w:t>
      </w:r>
      <w:r w:rsidRPr="00805C24">
        <w:rPr>
          <w:rFonts w:eastAsiaTheme="minorHAnsi"/>
          <w:i/>
          <w:iCs/>
        </w:rPr>
        <w:t xml:space="preserve">rganizations: The GLOBE </w:t>
      </w:r>
      <w:r>
        <w:rPr>
          <w:rFonts w:eastAsiaTheme="minorHAnsi"/>
          <w:i/>
          <w:iCs/>
        </w:rPr>
        <w:t>s</w:t>
      </w:r>
      <w:r w:rsidRPr="00805C24">
        <w:rPr>
          <w:rFonts w:eastAsiaTheme="minorHAnsi"/>
          <w:i/>
          <w:iCs/>
        </w:rPr>
        <w:t xml:space="preserve">tudy of 62 </w:t>
      </w:r>
      <w:r>
        <w:rPr>
          <w:rFonts w:eastAsiaTheme="minorHAnsi"/>
          <w:i/>
          <w:iCs/>
        </w:rPr>
        <w:t>s</w:t>
      </w:r>
      <w:r w:rsidRPr="00805C24">
        <w:rPr>
          <w:rFonts w:eastAsiaTheme="minorHAnsi"/>
          <w:i/>
          <w:iCs/>
        </w:rPr>
        <w:t>ocieties</w:t>
      </w:r>
      <w:r w:rsidRPr="00805C24">
        <w:rPr>
          <w:rFonts w:eastAsiaTheme="minorHAnsi"/>
        </w:rPr>
        <w:t>. Thousand Oaks</w:t>
      </w:r>
      <w:r w:rsidR="00402381">
        <w:rPr>
          <w:rFonts w:eastAsiaTheme="minorHAnsi"/>
        </w:rPr>
        <w:t>, CA</w:t>
      </w:r>
      <w:r w:rsidRPr="00805C24">
        <w:rPr>
          <w:rFonts w:eastAsiaTheme="minorHAnsi"/>
        </w:rPr>
        <w:t>: Sage.</w:t>
      </w:r>
    </w:p>
    <w:p w14:paraId="638B8838" w14:textId="77777777" w:rsidR="00257930" w:rsidRPr="00805C24" w:rsidRDefault="00257930" w:rsidP="00D549E9">
      <w:pPr>
        <w:widowControl w:val="0"/>
        <w:spacing w:line="480" w:lineRule="auto"/>
        <w:ind w:left="720" w:hanging="720"/>
        <w:rPr>
          <w:bCs/>
        </w:rPr>
      </w:pPr>
      <w:r w:rsidRPr="00EB6DBC">
        <w:rPr>
          <w:bCs/>
        </w:rPr>
        <w:t xml:space="preserve">Hunter, J. E., &amp; Schmidt, F. L. 2004. </w:t>
      </w:r>
      <w:r w:rsidRPr="00EB6DBC">
        <w:rPr>
          <w:bCs/>
          <w:i/>
        </w:rPr>
        <w:t>Methods of meta-analysis: Correcting error and bias in</w:t>
      </w:r>
      <w:r w:rsidRPr="00805C24">
        <w:rPr>
          <w:bCs/>
          <w:i/>
        </w:rPr>
        <w:t xml:space="preserve"> research findings</w:t>
      </w:r>
      <w:r w:rsidRPr="00805C24">
        <w:rPr>
          <w:bCs/>
        </w:rPr>
        <w:t xml:space="preserve"> (2nd ed.). Beverly Hills, CA: Sage Publications, Inc.</w:t>
      </w:r>
    </w:p>
    <w:p w14:paraId="7AF5BB02" w14:textId="4011F959" w:rsidR="00257930" w:rsidRPr="00805C24" w:rsidRDefault="00257930" w:rsidP="00113868">
      <w:pPr>
        <w:widowControl w:val="0"/>
        <w:spacing w:line="480" w:lineRule="auto"/>
        <w:ind w:left="720" w:hanging="720"/>
        <w:rPr>
          <w:lang w:eastAsia="en-US"/>
        </w:rPr>
      </w:pPr>
      <w:r w:rsidRPr="00805C24">
        <w:rPr>
          <w:lang w:eastAsia="en-US"/>
        </w:rPr>
        <w:t>*</w:t>
      </w:r>
      <w:proofErr w:type="spellStart"/>
      <w:r w:rsidRPr="00805C24">
        <w:rPr>
          <w:lang w:eastAsia="en-US"/>
        </w:rPr>
        <w:t>Jeanquart</w:t>
      </w:r>
      <w:proofErr w:type="spellEnd"/>
      <w:r w:rsidRPr="00805C24">
        <w:rPr>
          <w:lang w:eastAsia="en-US"/>
        </w:rPr>
        <w:t xml:space="preserve">, S. 1991. </w:t>
      </w:r>
      <w:r w:rsidRPr="00805C24">
        <w:rPr>
          <w:i/>
          <w:lang w:eastAsia="en-US"/>
        </w:rPr>
        <w:t>Felt conflict of subordinates in vertical dyadic relationships when supervisors and subordinates vary in gender or race.</w:t>
      </w:r>
      <w:r w:rsidRPr="00805C24">
        <w:rPr>
          <w:lang w:eastAsia="en-US"/>
        </w:rPr>
        <w:t xml:space="preserve"> Doctoral dissertation. Retrieved from </w:t>
      </w:r>
      <w:proofErr w:type="spellStart"/>
      <w:r w:rsidRPr="00805C24">
        <w:rPr>
          <w:lang w:eastAsia="en-US"/>
        </w:rPr>
        <w:t>Proquest</w:t>
      </w:r>
      <w:proofErr w:type="spellEnd"/>
      <w:r w:rsidRPr="00805C24">
        <w:rPr>
          <w:lang w:eastAsia="en-US"/>
        </w:rPr>
        <w:t xml:space="preserve"> Dissertations and Theses database. (UMI No. 9219744).</w:t>
      </w:r>
    </w:p>
    <w:p w14:paraId="401446CB" w14:textId="77777777" w:rsidR="0051465A" w:rsidRPr="0051465A" w:rsidRDefault="0051465A" w:rsidP="00D549E9">
      <w:pPr>
        <w:widowControl w:val="0"/>
        <w:spacing w:line="480" w:lineRule="auto"/>
        <w:ind w:left="720" w:hanging="720"/>
      </w:pPr>
      <w:r>
        <w:t xml:space="preserve">Kim, K. Y., Longacre, T. E., &amp; Werner, S. 2016. The effects of multilevel signals on sex discrimination experiences among female employees. </w:t>
      </w:r>
      <w:r>
        <w:rPr>
          <w:i/>
        </w:rPr>
        <w:t xml:space="preserve">Human Resource Management, </w:t>
      </w:r>
      <w:r>
        <w:t>56</w:t>
      </w:r>
      <w:r w:rsidR="006B66E5">
        <w:t>:</w:t>
      </w:r>
      <w:r>
        <w:t xml:space="preserve"> 995-1013.</w:t>
      </w:r>
    </w:p>
    <w:p w14:paraId="64ECB861" w14:textId="77777777" w:rsidR="00257930" w:rsidRPr="00536014" w:rsidRDefault="00257930" w:rsidP="00D549E9">
      <w:pPr>
        <w:widowControl w:val="0"/>
        <w:spacing w:line="480" w:lineRule="auto"/>
        <w:ind w:left="720" w:hanging="720"/>
      </w:pPr>
      <w:proofErr w:type="spellStart"/>
      <w:r w:rsidRPr="00536014">
        <w:t>Kobrynowicz</w:t>
      </w:r>
      <w:proofErr w:type="spellEnd"/>
      <w:r w:rsidRPr="00536014">
        <w:t xml:space="preserve">, D., &amp; </w:t>
      </w:r>
      <w:proofErr w:type="spellStart"/>
      <w:r w:rsidRPr="00536014">
        <w:t>Branscombe</w:t>
      </w:r>
      <w:proofErr w:type="spellEnd"/>
      <w:r w:rsidRPr="00536014">
        <w:t xml:space="preserve">, N. R. 1997. Who considers themselves victims of discrimination? Individual difference predictors of perceived gender discrimination in women and men. </w:t>
      </w:r>
      <w:r w:rsidRPr="00536014">
        <w:rPr>
          <w:i/>
        </w:rPr>
        <w:t>Psychology of Women Quarterly</w:t>
      </w:r>
      <w:r w:rsidRPr="00536014">
        <w:t xml:space="preserve">, </w:t>
      </w:r>
      <w:r w:rsidRPr="003763DF">
        <w:t>21</w:t>
      </w:r>
      <w:r w:rsidR="000911C0">
        <w:t>:</w:t>
      </w:r>
      <w:r w:rsidRPr="00536014">
        <w:t xml:space="preserve"> 347-363.</w:t>
      </w:r>
    </w:p>
    <w:p w14:paraId="686A4AE3" w14:textId="77777777" w:rsidR="00257930" w:rsidRPr="00805C24" w:rsidRDefault="00257930" w:rsidP="00D549E9">
      <w:pPr>
        <w:widowControl w:val="0"/>
        <w:spacing w:line="480" w:lineRule="auto"/>
        <w:ind w:left="720" w:hanging="720"/>
      </w:pPr>
      <w:proofErr w:type="spellStart"/>
      <w:r w:rsidRPr="00805C24">
        <w:lastRenderedPageBreak/>
        <w:t>Koslowsky</w:t>
      </w:r>
      <w:proofErr w:type="spellEnd"/>
      <w:r w:rsidRPr="00805C24">
        <w:t xml:space="preserve">, M. 2009. A multi-level model of withdrawal: Integrating and synthesizing theory and findings. </w:t>
      </w:r>
      <w:r w:rsidRPr="00805C24">
        <w:rPr>
          <w:i/>
        </w:rPr>
        <w:t>Human Resource Management Review</w:t>
      </w:r>
      <w:r w:rsidRPr="00805C24">
        <w:t xml:space="preserve">, </w:t>
      </w:r>
      <w:r w:rsidRPr="003763DF">
        <w:t>19</w:t>
      </w:r>
      <w:r w:rsidR="000911C0">
        <w:t>:</w:t>
      </w:r>
      <w:r w:rsidRPr="00805C24">
        <w:t xml:space="preserve"> 283–303.</w:t>
      </w:r>
    </w:p>
    <w:p w14:paraId="50C7C4A6" w14:textId="77777777" w:rsidR="00257930" w:rsidRPr="00805C24" w:rsidRDefault="00257930" w:rsidP="00113868">
      <w:pPr>
        <w:widowControl w:val="0"/>
        <w:suppressAutoHyphens w:val="0"/>
        <w:autoSpaceDE w:val="0"/>
        <w:autoSpaceDN w:val="0"/>
        <w:adjustRightInd w:val="0"/>
        <w:spacing w:line="480" w:lineRule="auto"/>
        <w:ind w:left="720" w:hanging="720"/>
      </w:pPr>
      <w:r w:rsidRPr="00805C24">
        <w:t xml:space="preserve">Lehman, W. E. K. &amp; Simpson, D. D. 1992. Employee substance abuse and on-the-job behaviors. </w:t>
      </w:r>
      <w:r w:rsidRPr="00805C24">
        <w:rPr>
          <w:i/>
        </w:rPr>
        <w:t xml:space="preserve">Journal of Applied Psychology, </w:t>
      </w:r>
      <w:r w:rsidRPr="00BA4A8F">
        <w:t>77</w:t>
      </w:r>
      <w:r w:rsidR="000911C0">
        <w:t>:</w:t>
      </w:r>
      <w:r w:rsidRPr="00805C24">
        <w:t xml:space="preserve"> 309-321.</w:t>
      </w:r>
    </w:p>
    <w:p w14:paraId="1ACFFA82" w14:textId="77777777" w:rsidR="00257930" w:rsidRPr="00E50013" w:rsidRDefault="00257930" w:rsidP="00113868">
      <w:pPr>
        <w:widowControl w:val="0"/>
        <w:suppressAutoHyphens w:val="0"/>
        <w:autoSpaceDE w:val="0"/>
        <w:autoSpaceDN w:val="0"/>
        <w:adjustRightInd w:val="0"/>
        <w:spacing w:line="480" w:lineRule="auto"/>
        <w:ind w:left="720" w:hanging="720"/>
      </w:pPr>
      <w:r w:rsidRPr="00E50013">
        <w:t>Major, B., Kaiser, C. R., &amp; McCoy, S. K. 2003. It's not my fault: When and why attributions to prejudice protect self-esteem. </w:t>
      </w:r>
      <w:r w:rsidRPr="00E50013">
        <w:rPr>
          <w:i/>
          <w:iCs/>
        </w:rPr>
        <w:t>Personality and Social Psychology Bulletin</w:t>
      </w:r>
      <w:r w:rsidRPr="00E50013">
        <w:t>, </w:t>
      </w:r>
      <w:r w:rsidRPr="003F6FB5">
        <w:rPr>
          <w:iCs/>
        </w:rPr>
        <w:t>29</w:t>
      </w:r>
      <w:r w:rsidRPr="00E50013">
        <w:t>(6)</w:t>
      </w:r>
      <w:r w:rsidR="000911C0">
        <w:t>:</w:t>
      </w:r>
      <w:r w:rsidRPr="00E50013">
        <w:t xml:space="preserve"> 772-781.</w:t>
      </w:r>
    </w:p>
    <w:p w14:paraId="37CA1DC6" w14:textId="77777777" w:rsidR="00257930" w:rsidRPr="00805C24" w:rsidRDefault="00257930" w:rsidP="00113868">
      <w:pPr>
        <w:widowControl w:val="0"/>
        <w:suppressAutoHyphens w:val="0"/>
        <w:autoSpaceDE w:val="0"/>
        <w:autoSpaceDN w:val="0"/>
        <w:adjustRightInd w:val="0"/>
        <w:spacing w:line="480" w:lineRule="auto"/>
        <w:ind w:left="720" w:hanging="720"/>
        <w:rPr>
          <w:lang w:eastAsia="en-US"/>
        </w:rPr>
      </w:pPr>
      <w:r w:rsidRPr="00805C24">
        <w:t xml:space="preserve">Mathieu, J. E., &amp; Zajac, E. J. 1990. A review and meta-analysis of the antecedents, correlates, and consequences of organizational commitment. </w:t>
      </w:r>
      <w:r w:rsidRPr="00805C24">
        <w:rPr>
          <w:i/>
          <w:iCs/>
        </w:rPr>
        <w:t xml:space="preserve">Psychological Bulletin, </w:t>
      </w:r>
      <w:r w:rsidRPr="00BA4A8F">
        <w:rPr>
          <w:iCs/>
        </w:rPr>
        <w:t>108</w:t>
      </w:r>
      <w:r w:rsidR="000911C0">
        <w:rPr>
          <w:iCs/>
        </w:rPr>
        <w:t>:</w:t>
      </w:r>
      <w:r w:rsidRPr="00805C24">
        <w:t xml:space="preserve"> 171-194.</w:t>
      </w:r>
    </w:p>
    <w:p w14:paraId="5FE518E2" w14:textId="77777777" w:rsidR="00257930" w:rsidRPr="00805C24" w:rsidRDefault="00257930" w:rsidP="00D549E9">
      <w:pPr>
        <w:widowControl w:val="0"/>
        <w:spacing w:line="480" w:lineRule="auto"/>
        <w:ind w:left="720" w:hanging="720"/>
      </w:pPr>
      <w:r w:rsidRPr="00805C24">
        <w:t>*</w:t>
      </w:r>
      <w:proofErr w:type="spellStart"/>
      <w:r w:rsidRPr="00805C24">
        <w:t>Minnotte</w:t>
      </w:r>
      <w:proofErr w:type="spellEnd"/>
      <w:r w:rsidRPr="00805C24">
        <w:t xml:space="preserve">, K. L. 2012. Perceived discrimination and work-to-life conflict among workers in the United States. </w:t>
      </w:r>
      <w:r w:rsidRPr="00805C24">
        <w:rPr>
          <w:i/>
          <w:iCs/>
        </w:rPr>
        <w:t>The Sociological Quarterly</w:t>
      </w:r>
      <w:r w:rsidRPr="00805C24">
        <w:t xml:space="preserve">, </w:t>
      </w:r>
      <w:r w:rsidRPr="00BA4A8F">
        <w:rPr>
          <w:iCs/>
        </w:rPr>
        <w:t>53</w:t>
      </w:r>
      <w:r w:rsidRPr="00805C24">
        <w:t>(2)</w:t>
      </w:r>
      <w:r w:rsidR="000911C0">
        <w:t>:</w:t>
      </w:r>
      <w:r w:rsidRPr="00805C24">
        <w:t xml:space="preserve"> 188-210.</w:t>
      </w:r>
    </w:p>
    <w:p w14:paraId="72F87BC7" w14:textId="77777777" w:rsidR="00257930" w:rsidRPr="00AC73F4" w:rsidRDefault="00257930" w:rsidP="00D549E9">
      <w:pPr>
        <w:widowControl w:val="0"/>
        <w:autoSpaceDE w:val="0"/>
        <w:autoSpaceDN w:val="0"/>
        <w:adjustRightInd w:val="0"/>
        <w:spacing w:line="480" w:lineRule="auto"/>
        <w:ind w:left="720" w:hanging="720"/>
        <w:rPr>
          <w:rFonts w:eastAsia="Cambria"/>
          <w:lang w:eastAsia="en-US"/>
        </w:rPr>
      </w:pPr>
      <w:r w:rsidRPr="00AC73F4">
        <w:rPr>
          <w:rFonts w:eastAsia="Cambria"/>
          <w:lang w:eastAsia="en-US"/>
        </w:rPr>
        <w:t xml:space="preserve">Morrison, A. M., &amp; Von Glinow, M. A. 1990. </w:t>
      </w:r>
      <w:r w:rsidRPr="00AC73F4">
        <w:rPr>
          <w:rFonts w:eastAsia="Cambria"/>
          <w:i/>
          <w:iCs/>
          <w:lang w:eastAsia="en-US"/>
        </w:rPr>
        <w:t>Women and minorities in management</w:t>
      </w:r>
      <w:r w:rsidRPr="00AC73F4">
        <w:rPr>
          <w:rFonts w:eastAsia="Cambria"/>
          <w:lang w:eastAsia="en-US"/>
        </w:rPr>
        <w:t>: American Psychological Association.</w:t>
      </w:r>
    </w:p>
    <w:p w14:paraId="41B16DCA" w14:textId="2FD55825" w:rsidR="00257930" w:rsidRPr="00BC5365" w:rsidRDefault="00257930" w:rsidP="00D549E9">
      <w:pPr>
        <w:widowControl w:val="0"/>
        <w:spacing w:line="480" w:lineRule="auto"/>
        <w:ind w:left="720" w:hanging="720"/>
      </w:pPr>
      <w:r w:rsidRPr="00BC5365">
        <w:t xml:space="preserve">*Nelson, N. 2001. </w:t>
      </w:r>
      <w:r w:rsidRPr="00BC5365">
        <w:rPr>
          <w:i/>
        </w:rPr>
        <w:t>Assessing the impact of multiple minority status on the workforce: A proposed model.</w:t>
      </w:r>
      <w:r w:rsidRPr="00BC5365">
        <w:t xml:space="preserve"> Doctoral dissertation. </w:t>
      </w:r>
      <w:r w:rsidRPr="00805C24">
        <w:rPr>
          <w:lang w:eastAsia="en-US"/>
        </w:rPr>
        <w:t xml:space="preserve">Retrieved from </w:t>
      </w:r>
      <w:proofErr w:type="spellStart"/>
      <w:r w:rsidRPr="00805C24">
        <w:rPr>
          <w:lang w:eastAsia="en-US"/>
        </w:rPr>
        <w:t>Proquest</w:t>
      </w:r>
      <w:proofErr w:type="spellEnd"/>
      <w:r w:rsidRPr="00805C24">
        <w:rPr>
          <w:lang w:eastAsia="en-US"/>
        </w:rPr>
        <w:t xml:space="preserve"> Dissertations and </w:t>
      </w:r>
      <w:r w:rsidRPr="00F50643">
        <w:rPr>
          <w:lang w:eastAsia="en-US"/>
        </w:rPr>
        <w:t>Theses database.</w:t>
      </w:r>
      <w:r w:rsidRPr="00BC5365">
        <w:t xml:space="preserve"> </w:t>
      </w:r>
      <w:r w:rsidRPr="00F50643">
        <w:t>(UMI No. 3051933).</w:t>
      </w:r>
    </w:p>
    <w:p w14:paraId="4ECDB8D2" w14:textId="77777777" w:rsidR="00257930" w:rsidRPr="00F50643" w:rsidRDefault="00257930" w:rsidP="00113868">
      <w:pPr>
        <w:widowControl w:val="0"/>
        <w:suppressAutoHyphens w:val="0"/>
        <w:autoSpaceDE w:val="0"/>
        <w:autoSpaceDN w:val="0"/>
        <w:adjustRightInd w:val="0"/>
        <w:spacing w:line="480" w:lineRule="auto"/>
        <w:ind w:left="720" w:hanging="720"/>
        <w:rPr>
          <w:rFonts w:eastAsiaTheme="minorHAnsi"/>
          <w:lang w:eastAsia="en-US"/>
        </w:rPr>
      </w:pPr>
      <w:proofErr w:type="spellStart"/>
      <w:r w:rsidRPr="00F50643">
        <w:rPr>
          <w:rFonts w:eastAsiaTheme="minorHAnsi"/>
          <w:lang w:eastAsia="en-US"/>
        </w:rPr>
        <w:t>Nosek</w:t>
      </w:r>
      <w:proofErr w:type="spellEnd"/>
      <w:r w:rsidRPr="00F50643">
        <w:rPr>
          <w:rFonts w:eastAsiaTheme="minorHAnsi"/>
          <w:lang w:eastAsia="en-US"/>
        </w:rPr>
        <w:t xml:space="preserve">, B. A., Smyth, F. L., Hansen, J. J., Devos, T., Lindner, N. M., </w:t>
      </w:r>
      <w:proofErr w:type="spellStart"/>
      <w:r w:rsidRPr="00F50643">
        <w:rPr>
          <w:rFonts w:eastAsiaTheme="minorHAnsi"/>
          <w:lang w:eastAsia="en-US"/>
        </w:rPr>
        <w:t>Ranganath</w:t>
      </w:r>
      <w:proofErr w:type="spellEnd"/>
      <w:r w:rsidRPr="00F50643">
        <w:rPr>
          <w:rFonts w:eastAsiaTheme="minorHAnsi"/>
          <w:lang w:eastAsia="en-US"/>
        </w:rPr>
        <w:t xml:space="preserve">, K. A., et al. 2007. Pervasiveness and correlates of implicit attitudes and stereotypes. </w:t>
      </w:r>
      <w:r w:rsidRPr="00F50643">
        <w:rPr>
          <w:rFonts w:eastAsiaTheme="minorHAnsi"/>
          <w:i/>
          <w:iCs/>
          <w:lang w:eastAsia="en-US"/>
        </w:rPr>
        <w:t xml:space="preserve">European Review of Social Psychology, </w:t>
      </w:r>
      <w:r w:rsidRPr="00BA4A8F">
        <w:rPr>
          <w:rFonts w:eastAsiaTheme="minorHAnsi"/>
          <w:iCs/>
          <w:lang w:eastAsia="en-US"/>
        </w:rPr>
        <w:t>18</w:t>
      </w:r>
      <w:r w:rsidR="000911C0">
        <w:rPr>
          <w:rFonts w:eastAsiaTheme="minorHAnsi"/>
          <w:iCs/>
          <w:lang w:eastAsia="en-US"/>
        </w:rPr>
        <w:t>:</w:t>
      </w:r>
      <w:r w:rsidRPr="00F50643">
        <w:rPr>
          <w:rFonts w:eastAsiaTheme="minorHAnsi"/>
          <w:lang w:eastAsia="en-US"/>
        </w:rPr>
        <w:t xml:space="preserve"> 36-88.</w:t>
      </w:r>
    </w:p>
    <w:p w14:paraId="45383358" w14:textId="77777777" w:rsidR="00257930" w:rsidRDefault="00257930" w:rsidP="00D549E9">
      <w:pPr>
        <w:widowControl w:val="0"/>
        <w:suppressAutoHyphens w:val="0"/>
        <w:autoSpaceDE w:val="0"/>
        <w:autoSpaceDN w:val="0"/>
        <w:adjustRightInd w:val="0"/>
        <w:spacing w:line="480" w:lineRule="auto"/>
        <w:ind w:left="720" w:hanging="720"/>
        <w:rPr>
          <w:lang w:eastAsia="en-US"/>
        </w:rPr>
      </w:pPr>
      <w:r w:rsidRPr="00805C24">
        <w:rPr>
          <w:lang w:eastAsia="en-US"/>
        </w:rPr>
        <w:t xml:space="preserve">Pascoe, E. A., &amp; Richman, L. 2009. Perceived discrimination and health: A meta-analytic review. </w:t>
      </w:r>
      <w:r w:rsidRPr="00805C24">
        <w:rPr>
          <w:i/>
          <w:iCs/>
          <w:lang w:eastAsia="en-US"/>
        </w:rPr>
        <w:t xml:space="preserve">Psychological Bulletin, </w:t>
      </w:r>
      <w:r w:rsidRPr="00BA4A8F">
        <w:rPr>
          <w:iCs/>
          <w:lang w:eastAsia="en-US"/>
        </w:rPr>
        <w:t>135</w:t>
      </w:r>
      <w:r w:rsidR="000911C0">
        <w:rPr>
          <w:iCs/>
          <w:lang w:eastAsia="en-US"/>
        </w:rPr>
        <w:t>:</w:t>
      </w:r>
      <w:r w:rsidRPr="00805C24">
        <w:rPr>
          <w:lang w:eastAsia="en-US"/>
        </w:rPr>
        <w:t xml:space="preserve"> 531-554.</w:t>
      </w:r>
    </w:p>
    <w:p w14:paraId="181695C1" w14:textId="77777777" w:rsidR="00257930" w:rsidRDefault="00257930" w:rsidP="00D549E9">
      <w:pPr>
        <w:widowControl w:val="0"/>
        <w:suppressAutoHyphens w:val="0"/>
        <w:autoSpaceDE w:val="0"/>
        <w:autoSpaceDN w:val="0"/>
        <w:adjustRightInd w:val="0"/>
        <w:spacing w:line="480" w:lineRule="auto"/>
        <w:ind w:left="720" w:hanging="720"/>
        <w:rPr>
          <w:color w:val="222222"/>
          <w:shd w:val="clear" w:color="auto" w:fill="FFFFFF"/>
        </w:rPr>
      </w:pPr>
      <w:r>
        <w:rPr>
          <w:color w:val="222222"/>
          <w:shd w:val="clear" w:color="auto" w:fill="FFFFFF"/>
        </w:rPr>
        <w:t>*</w:t>
      </w:r>
      <w:r w:rsidRPr="00A850DC">
        <w:rPr>
          <w:color w:val="222222"/>
          <w:shd w:val="clear" w:color="auto" w:fill="FFFFFF"/>
        </w:rPr>
        <w:t xml:space="preserve">Peng, K. Z., Ngo, H. Y., Shi, J., &amp; Wong, C. S. 2009. Gender differences in the work commitment of Chinese workers: An investigation of two alternative </w:t>
      </w:r>
      <w:r w:rsidRPr="00A850DC">
        <w:rPr>
          <w:color w:val="222222"/>
          <w:shd w:val="clear" w:color="auto" w:fill="FFFFFF"/>
        </w:rPr>
        <w:lastRenderedPageBreak/>
        <w:t>explanations.</w:t>
      </w:r>
      <w:r w:rsidRPr="00A850DC">
        <w:rPr>
          <w:rStyle w:val="apple-converted-space"/>
          <w:color w:val="222222"/>
          <w:shd w:val="clear" w:color="auto" w:fill="FFFFFF"/>
        </w:rPr>
        <w:t> </w:t>
      </w:r>
      <w:r w:rsidRPr="00A850DC">
        <w:rPr>
          <w:i/>
          <w:iCs/>
          <w:color w:val="222222"/>
          <w:shd w:val="clear" w:color="auto" w:fill="FFFFFF"/>
        </w:rPr>
        <w:t>Journal of World Business</w:t>
      </w:r>
      <w:r w:rsidRPr="00A850DC">
        <w:rPr>
          <w:color w:val="222222"/>
          <w:shd w:val="clear" w:color="auto" w:fill="FFFFFF"/>
        </w:rPr>
        <w:t>,</w:t>
      </w:r>
      <w:r w:rsidRPr="00A850DC">
        <w:rPr>
          <w:rStyle w:val="apple-converted-space"/>
          <w:color w:val="222222"/>
          <w:shd w:val="clear" w:color="auto" w:fill="FFFFFF"/>
        </w:rPr>
        <w:t> </w:t>
      </w:r>
      <w:r w:rsidRPr="00BA4A8F">
        <w:rPr>
          <w:iCs/>
          <w:color w:val="222222"/>
          <w:shd w:val="clear" w:color="auto" w:fill="FFFFFF"/>
        </w:rPr>
        <w:t>44</w:t>
      </w:r>
      <w:r w:rsidRPr="00A850DC">
        <w:rPr>
          <w:color w:val="222222"/>
          <w:shd w:val="clear" w:color="auto" w:fill="FFFFFF"/>
        </w:rPr>
        <w:t>(3)</w:t>
      </w:r>
      <w:r w:rsidR="000911C0">
        <w:rPr>
          <w:color w:val="222222"/>
          <w:shd w:val="clear" w:color="auto" w:fill="FFFFFF"/>
        </w:rPr>
        <w:t>:</w:t>
      </w:r>
      <w:r w:rsidRPr="00A850DC">
        <w:rPr>
          <w:color w:val="222222"/>
          <w:shd w:val="clear" w:color="auto" w:fill="FFFFFF"/>
        </w:rPr>
        <w:t xml:space="preserve"> 323-335.</w:t>
      </w:r>
    </w:p>
    <w:p w14:paraId="357BDE56" w14:textId="77777777" w:rsidR="00257930" w:rsidRPr="00536014" w:rsidRDefault="00257930" w:rsidP="00113868">
      <w:pPr>
        <w:widowControl w:val="0"/>
        <w:suppressAutoHyphens w:val="0"/>
        <w:autoSpaceDE w:val="0"/>
        <w:autoSpaceDN w:val="0"/>
        <w:adjustRightInd w:val="0"/>
        <w:spacing w:line="480" w:lineRule="auto"/>
        <w:ind w:left="720" w:hanging="720"/>
        <w:rPr>
          <w:lang w:eastAsia="en-US"/>
        </w:rPr>
      </w:pPr>
      <w:r w:rsidRPr="00536014">
        <w:rPr>
          <w:lang w:eastAsia="en-US"/>
        </w:rPr>
        <w:t xml:space="preserve">Pierson, B. 2007, September 7. </w:t>
      </w:r>
      <w:r w:rsidRPr="00452202">
        <w:rPr>
          <w:iCs/>
          <w:lang w:eastAsia="en-US"/>
        </w:rPr>
        <w:t>EEOC brings reverse sex discrimination case</w:t>
      </w:r>
      <w:r w:rsidRPr="00536014">
        <w:rPr>
          <w:i/>
          <w:iCs/>
          <w:lang w:eastAsia="en-US"/>
        </w:rPr>
        <w:t>.</w:t>
      </w:r>
      <w:r w:rsidRPr="00536014">
        <w:rPr>
          <w:lang w:eastAsia="en-US"/>
        </w:rPr>
        <w:t xml:space="preserve"> Retrieved from http://www.law360.com/articles/34268/eeoc-brings-reverse-sex-discrimination-case</w:t>
      </w:r>
    </w:p>
    <w:p w14:paraId="6C0D5F2F" w14:textId="77777777" w:rsidR="00257930" w:rsidRPr="00401F7D" w:rsidRDefault="00257930" w:rsidP="00D549E9">
      <w:pPr>
        <w:widowControl w:val="0"/>
        <w:suppressAutoHyphens w:val="0"/>
        <w:autoSpaceDE w:val="0"/>
        <w:autoSpaceDN w:val="0"/>
        <w:adjustRightInd w:val="0"/>
        <w:spacing w:line="480" w:lineRule="auto"/>
        <w:ind w:left="720" w:hanging="720"/>
      </w:pPr>
      <w:r w:rsidRPr="00401F7D">
        <w:t xml:space="preserve">Podsakoff, P. J., </w:t>
      </w:r>
      <w:proofErr w:type="spellStart"/>
      <w:r w:rsidRPr="00401F7D">
        <w:t>MacKenzie</w:t>
      </w:r>
      <w:proofErr w:type="spellEnd"/>
      <w:r w:rsidRPr="00401F7D">
        <w:t xml:space="preserve">, S. B., Lee, J., &amp; Podsakoff, N. P. 2003. Common method biases in behavioral research: A critical review of the literature and recommended remedies. </w:t>
      </w:r>
      <w:r w:rsidRPr="00401F7D">
        <w:rPr>
          <w:i/>
        </w:rPr>
        <w:t xml:space="preserve">Journal of Applied Psychology, </w:t>
      </w:r>
      <w:r w:rsidRPr="003F6FB5">
        <w:t>88</w:t>
      </w:r>
      <w:r w:rsidR="000911C0">
        <w:t>:</w:t>
      </w:r>
      <w:r w:rsidRPr="00401F7D">
        <w:rPr>
          <w:i/>
        </w:rPr>
        <w:t xml:space="preserve"> </w:t>
      </w:r>
      <w:r w:rsidRPr="00401F7D">
        <w:t>879-903.</w:t>
      </w:r>
    </w:p>
    <w:p w14:paraId="58097506" w14:textId="77777777" w:rsidR="00257930" w:rsidRPr="00805C24" w:rsidRDefault="00257930" w:rsidP="00D549E9">
      <w:pPr>
        <w:widowControl w:val="0"/>
        <w:suppressAutoHyphens w:val="0"/>
        <w:autoSpaceDE w:val="0"/>
        <w:autoSpaceDN w:val="0"/>
        <w:adjustRightInd w:val="0"/>
        <w:spacing w:line="480" w:lineRule="auto"/>
        <w:ind w:left="720" w:hanging="720"/>
        <w:rPr>
          <w:lang w:eastAsia="en-US"/>
        </w:rPr>
      </w:pPr>
      <w:r w:rsidRPr="00805C24">
        <w:rPr>
          <w:lang w:eastAsia="en-US"/>
        </w:rPr>
        <w:t xml:space="preserve">*Raver, J. L., &amp; Nishii, L. H. 2010. Once, twice, or three times as harmful? Ethnic harassment, gender harassment, and generalized workplace harassment. </w:t>
      </w:r>
      <w:r w:rsidRPr="00805C24">
        <w:rPr>
          <w:bCs/>
          <w:i/>
          <w:iCs/>
          <w:lang w:eastAsia="en-US"/>
        </w:rPr>
        <w:t>Journal of Applied Psychology</w:t>
      </w:r>
      <w:r w:rsidRPr="00805C24">
        <w:rPr>
          <w:lang w:eastAsia="en-US"/>
        </w:rPr>
        <w:t xml:space="preserve">, </w:t>
      </w:r>
      <w:r w:rsidRPr="00BA4A8F">
        <w:rPr>
          <w:lang w:eastAsia="en-US"/>
        </w:rPr>
        <w:t>95</w:t>
      </w:r>
      <w:r w:rsidR="000911C0">
        <w:rPr>
          <w:lang w:eastAsia="en-US"/>
        </w:rPr>
        <w:t>:</w:t>
      </w:r>
      <w:r w:rsidRPr="00805C24">
        <w:rPr>
          <w:lang w:eastAsia="en-US"/>
        </w:rPr>
        <w:t xml:space="preserve"> 236-254.</w:t>
      </w:r>
    </w:p>
    <w:p w14:paraId="7DDB5732" w14:textId="77777777" w:rsidR="00257930" w:rsidRPr="00B82F96" w:rsidRDefault="00257930" w:rsidP="00D549E9">
      <w:pPr>
        <w:widowControl w:val="0"/>
        <w:suppressAutoHyphens w:val="0"/>
        <w:autoSpaceDE w:val="0"/>
        <w:autoSpaceDN w:val="0"/>
        <w:adjustRightInd w:val="0"/>
        <w:spacing w:line="480" w:lineRule="auto"/>
        <w:ind w:left="720" w:hanging="720"/>
        <w:rPr>
          <w:i/>
          <w:lang w:eastAsia="en-US"/>
        </w:rPr>
      </w:pPr>
      <w:r w:rsidRPr="00805C24">
        <w:rPr>
          <w:lang w:eastAsia="en-US"/>
        </w:rPr>
        <w:t xml:space="preserve">Richard, O. C., </w:t>
      </w:r>
      <w:proofErr w:type="spellStart"/>
      <w:r w:rsidRPr="00805C24">
        <w:rPr>
          <w:lang w:eastAsia="en-US"/>
        </w:rPr>
        <w:t>Roh</w:t>
      </w:r>
      <w:proofErr w:type="spellEnd"/>
      <w:r w:rsidRPr="00805C24">
        <w:rPr>
          <w:lang w:eastAsia="en-US"/>
        </w:rPr>
        <w:t xml:space="preserve">, H., &amp; Pieper, J. P. 2013. The link between diversity and equality management practice bundles and racial diversity in the managerial ranks: Does firm size </w:t>
      </w:r>
      <w:r w:rsidRPr="00B82F96">
        <w:rPr>
          <w:lang w:eastAsia="en-US"/>
        </w:rPr>
        <w:t xml:space="preserve">matter? </w:t>
      </w:r>
      <w:r w:rsidRPr="00B82F96">
        <w:rPr>
          <w:i/>
          <w:lang w:eastAsia="en-US"/>
        </w:rPr>
        <w:t xml:space="preserve">Human Resource Management, </w:t>
      </w:r>
      <w:r w:rsidRPr="00BA4A8F">
        <w:rPr>
          <w:lang w:eastAsia="en-US"/>
        </w:rPr>
        <w:t>52</w:t>
      </w:r>
      <w:r w:rsidRPr="00B82F96">
        <w:rPr>
          <w:lang w:eastAsia="en-US"/>
        </w:rPr>
        <w:t>(2)</w:t>
      </w:r>
      <w:r w:rsidR="000911C0">
        <w:rPr>
          <w:lang w:eastAsia="en-US"/>
        </w:rPr>
        <w:t>:</w:t>
      </w:r>
      <w:r w:rsidRPr="00B82F96">
        <w:rPr>
          <w:i/>
          <w:lang w:eastAsia="en-US"/>
        </w:rPr>
        <w:t xml:space="preserve"> </w:t>
      </w:r>
      <w:r w:rsidRPr="00B82F96">
        <w:rPr>
          <w:lang w:eastAsia="en-US"/>
        </w:rPr>
        <w:t>215-242.</w:t>
      </w:r>
    </w:p>
    <w:p w14:paraId="62AD0835" w14:textId="77777777" w:rsidR="00257930" w:rsidRPr="00F75E83" w:rsidRDefault="00257930" w:rsidP="00113868">
      <w:pPr>
        <w:widowControl w:val="0"/>
        <w:spacing w:line="480" w:lineRule="auto"/>
        <w:ind w:left="720" w:hanging="720"/>
        <w:rPr>
          <w:lang w:eastAsia="en-US"/>
        </w:rPr>
      </w:pPr>
      <w:r w:rsidRPr="00F75E83">
        <w:rPr>
          <w:lang w:eastAsia="en-US"/>
        </w:rPr>
        <w:t xml:space="preserve">Ridgeway, C. L. 2011. </w:t>
      </w:r>
      <w:r w:rsidRPr="00F75E83">
        <w:rPr>
          <w:i/>
          <w:iCs/>
          <w:lang w:eastAsia="en-US"/>
        </w:rPr>
        <w:t>Framed by gender: How gender inequality persists in the modern world</w:t>
      </w:r>
      <w:r w:rsidRPr="00F75E83">
        <w:rPr>
          <w:lang w:eastAsia="en-US"/>
        </w:rPr>
        <w:t>. New York: Oxford University Press.</w:t>
      </w:r>
    </w:p>
    <w:p w14:paraId="2320BA96" w14:textId="77777777" w:rsidR="00257930" w:rsidRPr="00F75E83" w:rsidRDefault="00257930" w:rsidP="00113868">
      <w:pPr>
        <w:widowControl w:val="0"/>
        <w:spacing w:line="480" w:lineRule="auto"/>
        <w:ind w:left="720" w:hanging="720"/>
        <w:rPr>
          <w:lang w:eastAsia="en-US"/>
        </w:rPr>
      </w:pPr>
      <w:r w:rsidRPr="00F75E83">
        <w:rPr>
          <w:lang w:eastAsia="en-US"/>
        </w:rPr>
        <w:t xml:space="preserve">Ridgeway, C. L., &amp; Berger, J. 1986. Expectations, legitimation, and dominance behavior in task groups. </w:t>
      </w:r>
      <w:r w:rsidRPr="00F75E83">
        <w:rPr>
          <w:i/>
          <w:iCs/>
          <w:lang w:eastAsia="en-US"/>
        </w:rPr>
        <w:t xml:space="preserve">American Sociological Review, </w:t>
      </w:r>
      <w:r w:rsidRPr="003F6FB5">
        <w:rPr>
          <w:iCs/>
          <w:lang w:eastAsia="en-US"/>
        </w:rPr>
        <w:t>51(5)</w:t>
      </w:r>
      <w:r w:rsidR="000911C0">
        <w:rPr>
          <w:iCs/>
          <w:lang w:eastAsia="en-US"/>
        </w:rPr>
        <w:t>:</w:t>
      </w:r>
      <w:r w:rsidRPr="00F75E83">
        <w:rPr>
          <w:lang w:eastAsia="en-US"/>
        </w:rPr>
        <w:t xml:space="preserve"> 603-617.</w:t>
      </w:r>
    </w:p>
    <w:p w14:paraId="39A2E475" w14:textId="77777777" w:rsidR="00257930" w:rsidRPr="00805C24" w:rsidRDefault="00257930" w:rsidP="00113868">
      <w:pPr>
        <w:widowControl w:val="0"/>
        <w:spacing w:line="480" w:lineRule="auto"/>
        <w:ind w:left="720" w:hanging="720"/>
        <w:rPr>
          <w:lang w:eastAsia="en-US"/>
        </w:rPr>
      </w:pPr>
      <w:r w:rsidRPr="00805C24">
        <w:rPr>
          <w:lang w:eastAsia="en-US"/>
        </w:rPr>
        <w:t>*</w:t>
      </w:r>
      <w:proofErr w:type="spellStart"/>
      <w:r w:rsidRPr="00805C24">
        <w:rPr>
          <w:lang w:eastAsia="en-US"/>
        </w:rPr>
        <w:t>Rospenda</w:t>
      </w:r>
      <w:proofErr w:type="spellEnd"/>
      <w:r w:rsidRPr="00805C24">
        <w:rPr>
          <w:lang w:eastAsia="en-US"/>
        </w:rPr>
        <w:t xml:space="preserve">, K. M., Richman, J. A., &amp; Shannon, C. A. 2009. Prevalence and mental health correlates of harassment and discrimination in the workplace: Results from a national study. </w:t>
      </w:r>
      <w:r w:rsidRPr="00805C24">
        <w:rPr>
          <w:i/>
          <w:iCs/>
          <w:lang w:eastAsia="en-US"/>
        </w:rPr>
        <w:t xml:space="preserve">Journal of Interpersonal Violence, </w:t>
      </w:r>
      <w:r w:rsidRPr="00BA4A8F">
        <w:rPr>
          <w:iCs/>
          <w:lang w:eastAsia="en-US"/>
        </w:rPr>
        <w:t>24</w:t>
      </w:r>
      <w:r w:rsidR="000911C0">
        <w:rPr>
          <w:iCs/>
          <w:lang w:eastAsia="en-US"/>
        </w:rPr>
        <w:t>:</w:t>
      </w:r>
      <w:r w:rsidRPr="00805C24">
        <w:rPr>
          <w:lang w:eastAsia="en-US"/>
        </w:rPr>
        <w:t xml:space="preserve"> 819-843.</w:t>
      </w:r>
    </w:p>
    <w:p w14:paraId="39233FC9" w14:textId="77777777" w:rsidR="00257930" w:rsidRPr="00980ADD" w:rsidRDefault="00257930" w:rsidP="00113868">
      <w:pPr>
        <w:widowControl w:val="0"/>
        <w:suppressAutoHyphens w:val="0"/>
        <w:autoSpaceDE w:val="0"/>
        <w:autoSpaceDN w:val="0"/>
        <w:adjustRightInd w:val="0"/>
        <w:spacing w:line="480" w:lineRule="auto"/>
        <w:ind w:left="720" w:hanging="720"/>
        <w:rPr>
          <w:rFonts w:eastAsiaTheme="minorHAnsi"/>
          <w:lang w:eastAsia="en-US"/>
        </w:rPr>
      </w:pPr>
      <w:r w:rsidRPr="00980ADD">
        <w:rPr>
          <w:rFonts w:eastAsiaTheme="minorHAnsi"/>
          <w:lang w:eastAsia="en-US"/>
        </w:rPr>
        <w:t xml:space="preserve">Rousseau, D. M. 1995. </w:t>
      </w:r>
      <w:r w:rsidRPr="00980ADD">
        <w:rPr>
          <w:rFonts w:eastAsiaTheme="minorHAnsi"/>
          <w:i/>
          <w:iCs/>
          <w:lang w:eastAsia="en-US"/>
        </w:rPr>
        <w:t>Psychological contracts in organizations: Understanding written and unwritten agreements</w:t>
      </w:r>
      <w:r w:rsidRPr="00980ADD">
        <w:rPr>
          <w:rFonts w:eastAsiaTheme="minorHAnsi"/>
          <w:lang w:eastAsia="en-US"/>
        </w:rPr>
        <w:t>. Thousand Oaks, CA: Sage Publications.</w:t>
      </w:r>
    </w:p>
    <w:p w14:paraId="1852CF59" w14:textId="77777777" w:rsidR="00257930" w:rsidRPr="00B2396C" w:rsidRDefault="00257930" w:rsidP="00D549E9">
      <w:pPr>
        <w:widowControl w:val="0"/>
        <w:autoSpaceDE w:val="0"/>
        <w:spacing w:line="480" w:lineRule="auto"/>
        <w:ind w:left="720" w:hanging="720"/>
      </w:pPr>
      <w:r w:rsidRPr="00B2396C">
        <w:t xml:space="preserve">Schmitt, N. 1994. Method bias: The importance of theory and measurement. </w:t>
      </w:r>
      <w:r w:rsidRPr="00B2396C">
        <w:rPr>
          <w:i/>
        </w:rPr>
        <w:t>Journal of Organizational Behavior</w:t>
      </w:r>
      <w:r w:rsidRPr="00B2396C">
        <w:t xml:space="preserve">, </w:t>
      </w:r>
      <w:r w:rsidRPr="00214418">
        <w:t>15</w:t>
      </w:r>
      <w:r w:rsidR="000911C0">
        <w:t>:</w:t>
      </w:r>
      <w:r w:rsidRPr="00B2396C">
        <w:t xml:space="preserve"> 393-398.</w:t>
      </w:r>
    </w:p>
    <w:p w14:paraId="3BE94E31" w14:textId="77777777" w:rsidR="00257930" w:rsidRPr="00805C24" w:rsidRDefault="00257930" w:rsidP="00D549E9">
      <w:pPr>
        <w:widowControl w:val="0"/>
        <w:autoSpaceDE w:val="0"/>
        <w:spacing w:line="480" w:lineRule="auto"/>
        <w:ind w:left="720" w:hanging="720"/>
      </w:pPr>
      <w:r w:rsidRPr="00161572">
        <w:lastRenderedPageBreak/>
        <w:t xml:space="preserve">*Shaffer, M. A., Joplin, J. R., Bell, M. P., Lau, T., &amp; </w:t>
      </w:r>
      <w:proofErr w:type="spellStart"/>
      <w:r w:rsidRPr="00161572">
        <w:t>Oguz</w:t>
      </w:r>
      <w:proofErr w:type="spellEnd"/>
      <w:r w:rsidRPr="00161572">
        <w:t>, C. 2000. Gender discrimination</w:t>
      </w:r>
      <w:r w:rsidRPr="00805C24">
        <w:t xml:space="preserve"> and job-related outcomes: A cross-cultural comparison of working women in the United States and China. </w:t>
      </w:r>
      <w:r w:rsidRPr="00805C24">
        <w:rPr>
          <w:i/>
          <w:iCs/>
        </w:rPr>
        <w:t>Journal of Vocational Behavior</w:t>
      </w:r>
      <w:r w:rsidRPr="00805C24">
        <w:t xml:space="preserve">, </w:t>
      </w:r>
      <w:r w:rsidRPr="00466A6A">
        <w:rPr>
          <w:iCs/>
        </w:rPr>
        <w:t>57</w:t>
      </w:r>
      <w:r w:rsidRPr="00805C24">
        <w:t>(3)</w:t>
      </w:r>
      <w:r w:rsidR="000911C0">
        <w:t>:</w:t>
      </w:r>
      <w:r w:rsidRPr="00805C24">
        <w:t xml:space="preserve"> 395-427.</w:t>
      </w:r>
    </w:p>
    <w:p w14:paraId="006984DF" w14:textId="77777777" w:rsidR="00257930" w:rsidRPr="00943AEF" w:rsidRDefault="00257930" w:rsidP="00113868">
      <w:pPr>
        <w:widowControl w:val="0"/>
        <w:suppressAutoHyphens w:val="0"/>
        <w:autoSpaceDE w:val="0"/>
        <w:autoSpaceDN w:val="0"/>
        <w:adjustRightInd w:val="0"/>
        <w:spacing w:line="480" w:lineRule="auto"/>
        <w:ind w:left="720" w:hanging="720"/>
        <w:rPr>
          <w:rFonts w:eastAsiaTheme="minorHAnsi"/>
          <w:lang w:eastAsia="en-US"/>
        </w:rPr>
      </w:pPr>
      <w:r w:rsidRPr="00943AEF">
        <w:rPr>
          <w:rFonts w:eastAsiaTheme="minorHAnsi"/>
          <w:lang w:eastAsia="en-US"/>
        </w:rPr>
        <w:t xml:space="preserve">Steel, P. D., &amp; </w:t>
      </w:r>
      <w:proofErr w:type="spellStart"/>
      <w:r w:rsidRPr="00943AEF">
        <w:rPr>
          <w:rFonts w:eastAsiaTheme="minorHAnsi"/>
          <w:lang w:eastAsia="en-US"/>
        </w:rPr>
        <w:t>Kammeyer</w:t>
      </w:r>
      <w:proofErr w:type="spellEnd"/>
      <w:r w:rsidRPr="00943AEF">
        <w:rPr>
          <w:rFonts w:eastAsiaTheme="minorHAnsi"/>
          <w:lang w:eastAsia="en-US"/>
        </w:rPr>
        <w:t xml:space="preserve">–Muller, J. D. 2002. Comparing meta–analytic moderator estimation techniques under realistic conditions. </w:t>
      </w:r>
      <w:r w:rsidRPr="00943AEF">
        <w:rPr>
          <w:rFonts w:eastAsiaTheme="minorHAnsi"/>
          <w:i/>
          <w:iCs/>
          <w:lang w:eastAsia="en-US"/>
        </w:rPr>
        <w:t xml:space="preserve">Journal of Applied Psychology, </w:t>
      </w:r>
      <w:r w:rsidRPr="00466A6A">
        <w:rPr>
          <w:rFonts w:eastAsiaTheme="minorHAnsi"/>
          <w:iCs/>
          <w:lang w:eastAsia="en-US"/>
        </w:rPr>
        <w:t>87</w:t>
      </w:r>
      <w:r w:rsidR="000911C0">
        <w:rPr>
          <w:rFonts w:eastAsiaTheme="minorHAnsi"/>
          <w:iCs/>
          <w:lang w:eastAsia="en-US"/>
        </w:rPr>
        <w:t>:</w:t>
      </w:r>
      <w:r w:rsidRPr="00943AEF">
        <w:rPr>
          <w:rFonts w:eastAsiaTheme="minorHAnsi"/>
          <w:i/>
          <w:iCs/>
          <w:lang w:eastAsia="en-US"/>
        </w:rPr>
        <w:t xml:space="preserve"> </w:t>
      </w:r>
      <w:r w:rsidRPr="00943AEF">
        <w:rPr>
          <w:rFonts w:eastAsiaTheme="minorHAnsi"/>
          <w:lang w:eastAsia="en-US"/>
        </w:rPr>
        <w:t>96–111.</w:t>
      </w:r>
    </w:p>
    <w:p w14:paraId="6B1B1508" w14:textId="77777777" w:rsidR="00257930" w:rsidRPr="00DE706B" w:rsidRDefault="00257930" w:rsidP="00113868">
      <w:pPr>
        <w:pStyle w:val="CommentText"/>
        <w:widowControl w:val="0"/>
        <w:spacing w:line="480" w:lineRule="auto"/>
        <w:ind w:left="720" w:hanging="720"/>
        <w:rPr>
          <w:sz w:val="24"/>
          <w:szCs w:val="24"/>
        </w:rPr>
      </w:pPr>
      <w:r w:rsidRPr="00DE706B">
        <w:rPr>
          <w:sz w:val="24"/>
          <w:szCs w:val="24"/>
          <w:shd w:val="clear" w:color="auto" w:fill="FFFFFF"/>
        </w:rPr>
        <w:t>Taylor, D. M., Wright, S. C., Moghaddam, F. M., &amp; Lalonde, R. N. 1990. The personal/group discrimination discrepancy: Perceiving my group, but not myself, to be a target for discrimination.</w:t>
      </w:r>
      <w:r w:rsidRPr="00DE706B">
        <w:rPr>
          <w:rStyle w:val="apple-converted-space"/>
          <w:sz w:val="24"/>
          <w:szCs w:val="24"/>
          <w:shd w:val="clear" w:color="auto" w:fill="FFFFFF"/>
        </w:rPr>
        <w:t> </w:t>
      </w:r>
      <w:r w:rsidRPr="00DE706B">
        <w:rPr>
          <w:i/>
          <w:iCs/>
          <w:sz w:val="24"/>
          <w:szCs w:val="24"/>
          <w:shd w:val="clear" w:color="auto" w:fill="FFFFFF"/>
        </w:rPr>
        <w:t>Personality and Social Psychology Bulletin</w:t>
      </w:r>
      <w:r w:rsidRPr="00DE706B">
        <w:rPr>
          <w:sz w:val="24"/>
          <w:szCs w:val="24"/>
          <w:shd w:val="clear" w:color="auto" w:fill="FFFFFF"/>
        </w:rPr>
        <w:t xml:space="preserve">, </w:t>
      </w:r>
      <w:r w:rsidRPr="00DE706B">
        <w:rPr>
          <w:iCs/>
          <w:sz w:val="24"/>
          <w:szCs w:val="24"/>
          <w:shd w:val="clear" w:color="auto" w:fill="FFFFFF"/>
        </w:rPr>
        <w:t>16</w:t>
      </w:r>
      <w:r w:rsidRPr="00DE706B">
        <w:rPr>
          <w:sz w:val="24"/>
          <w:szCs w:val="24"/>
          <w:shd w:val="clear" w:color="auto" w:fill="FFFFFF"/>
        </w:rPr>
        <w:t>(2)</w:t>
      </w:r>
      <w:r w:rsidR="00B40E48" w:rsidRPr="00DE706B">
        <w:rPr>
          <w:sz w:val="24"/>
          <w:szCs w:val="24"/>
          <w:shd w:val="clear" w:color="auto" w:fill="FFFFFF"/>
        </w:rPr>
        <w:t>:</w:t>
      </w:r>
      <w:r w:rsidRPr="00DE706B">
        <w:rPr>
          <w:sz w:val="24"/>
          <w:szCs w:val="24"/>
          <w:shd w:val="clear" w:color="auto" w:fill="FFFFFF"/>
        </w:rPr>
        <w:t xml:space="preserve"> 254-262.</w:t>
      </w:r>
    </w:p>
    <w:p w14:paraId="0902D2B1" w14:textId="52C8823C" w:rsidR="00CA2940" w:rsidRPr="00CA2940" w:rsidRDefault="00CA2940" w:rsidP="00D549E9">
      <w:pPr>
        <w:widowControl w:val="0"/>
        <w:suppressAutoHyphens w:val="0"/>
        <w:autoSpaceDE w:val="0"/>
        <w:autoSpaceDN w:val="0"/>
        <w:adjustRightInd w:val="0"/>
        <w:spacing w:line="480" w:lineRule="auto"/>
        <w:ind w:left="720" w:hanging="720"/>
        <w:rPr>
          <w:lang w:eastAsia="en-US"/>
        </w:rPr>
      </w:pPr>
      <w:r w:rsidRPr="00CA2940">
        <w:rPr>
          <w:lang w:eastAsia="en-US"/>
        </w:rPr>
        <w:t xml:space="preserve">Tinsley, T., &amp; Board, K. 2014. Languages for the future: Which languages the UK needs most and why. </w:t>
      </w:r>
      <w:r w:rsidR="00402381">
        <w:rPr>
          <w:lang w:eastAsia="en-US"/>
        </w:rPr>
        <w:t xml:space="preserve">Retrieved from </w:t>
      </w:r>
      <w:r w:rsidR="00402381" w:rsidRPr="00402381">
        <w:rPr>
          <w:lang w:eastAsia="en-US"/>
        </w:rPr>
        <w:t>https://www.britishcouncil.org/organisation/policy-insight-research/research/languages-future</w:t>
      </w:r>
    </w:p>
    <w:p w14:paraId="4C5978B0" w14:textId="77777777" w:rsidR="00257930" w:rsidRPr="004E2863" w:rsidRDefault="00257930" w:rsidP="00D549E9">
      <w:pPr>
        <w:widowControl w:val="0"/>
        <w:suppressAutoHyphens w:val="0"/>
        <w:autoSpaceDE w:val="0"/>
        <w:autoSpaceDN w:val="0"/>
        <w:adjustRightInd w:val="0"/>
        <w:spacing w:line="480" w:lineRule="auto"/>
        <w:ind w:left="720" w:hanging="720"/>
        <w:rPr>
          <w:lang w:eastAsia="en-US"/>
        </w:rPr>
      </w:pPr>
      <w:r w:rsidRPr="003318F1">
        <w:rPr>
          <w:lang w:eastAsia="en-US"/>
        </w:rPr>
        <w:t xml:space="preserve">Triana, M., &amp; García, M. F. 2009. </w:t>
      </w:r>
      <w:r w:rsidRPr="004E2863">
        <w:rPr>
          <w:lang w:eastAsia="en-US"/>
        </w:rPr>
        <w:t xml:space="preserve">Valuing diversity: A group-value approach to understanding the importance of organizational efforts to support diversity. </w:t>
      </w:r>
      <w:r w:rsidRPr="004E2863">
        <w:rPr>
          <w:i/>
          <w:iCs/>
          <w:lang w:eastAsia="en-US"/>
        </w:rPr>
        <w:t xml:space="preserve">Journal of Organizational Behavior, </w:t>
      </w:r>
      <w:r w:rsidRPr="003F6FB5">
        <w:rPr>
          <w:iCs/>
          <w:lang w:eastAsia="en-US"/>
        </w:rPr>
        <w:t>30</w:t>
      </w:r>
      <w:r w:rsidR="00B40E48">
        <w:rPr>
          <w:iCs/>
          <w:lang w:eastAsia="en-US"/>
        </w:rPr>
        <w:t>:</w:t>
      </w:r>
      <w:r w:rsidRPr="004E2863">
        <w:rPr>
          <w:lang w:eastAsia="en-US"/>
        </w:rPr>
        <w:t xml:space="preserve"> 941-962.</w:t>
      </w:r>
    </w:p>
    <w:p w14:paraId="1F77CE1B" w14:textId="77777777" w:rsidR="00257930" w:rsidRDefault="00257930" w:rsidP="00D549E9">
      <w:pPr>
        <w:pStyle w:val="PlainText"/>
        <w:widowControl w:val="0"/>
        <w:spacing w:line="480" w:lineRule="auto"/>
        <w:ind w:left="720" w:hanging="720"/>
        <w:rPr>
          <w:rFonts w:ascii="Times New Roman" w:hAnsi="Times New Roman"/>
          <w:color w:val="000000"/>
          <w:sz w:val="24"/>
          <w:szCs w:val="24"/>
          <w:lang w:eastAsia="ar-SA"/>
        </w:rPr>
      </w:pPr>
      <w:r>
        <w:rPr>
          <w:rFonts w:ascii="Times New Roman" w:hAnsi="Times New Roman"/>
          <w:color w:val="000000"/>
          <w:sz w:val="24"/>
          <w:szCs w:val="24"/>
        </w:rPr>
        <w:t xml:space="preserve">Triana, M., Jayasinghe, M., &amp; Pieper, J. R. 2015. Perceived workplace racial discrimination and its correlates: A meta-analysis. </w:t>
      </w:r>
      <w:r>
        <w:rPr>
          <w:rFonts w:ascii="Times New Roman" w:hAnsi="Times New Roman"/>
          <w:i/>
          <w:color w:val="000000"/>
          <w:sz w:val="24"/>
          <w:szCs w:val="24"/>
        </w:rPr>
        <w:t xml:space="preserve">Journal of Organizational Behavior, </w:t>
      </w:r>
      <w:r w:rsidRPr="00466A6A">
        <w:rPr>
          <w:rFonts w:ascii="Times New Roman" w:hAnsi="Times New Roman"/>
          <w:color w:val="000000"/>
          <w:sz w:val="24"/>
          <w:szCs w:val="24"/>
        </w:rPr>
        <w:t>36</w:t>
      </w:r>
      <w:r w:rsidR="00B40E48">
        <w:rPr>
          <w:rFonts w:ascii="Times New Roman" w:hAnsi="Times New Roman"/>
          <w:color w:val="000000"/>
          <w:sz w:val="24"/>
          <w:szCs w:val="24"/>
        </w:rPr>
        <w:t>:</w:t>
      </w:r>
      <w:r>
        <w:rPr>
          <w:rFonts w:ascii="Times New Roman" w:hAnsi="Times New Roman"/>
          <w:color w:val="000000"/>
          <w:sz w:val="24"/>
          <w:szCs w:val="24"/>
        </w:rPr>
        <w:t xml:space="preserve"> 491-513.</w:t>
      </w:r>
    </w:p>
    <w:p w14:paraId="522AB74D" w14:textId="77777777" w:rsidR="00257930" w:rsidRPr="00ED6762" w:rsidRDefault="00257930" w:rsidP="00113868">
      <w:pPr>
        <w:widowControl w:val="0"/>
        <w:tabs>
          <w:tab w:val="left" w:pos="450"/>
          <w:tab w:val="left" w:pos="720"/>
        </w:tabs>
        <w:spacing w:line="480" w:lineRule="auto"/>
        <w:ind w:left="720" w:hanging="720"/>
      </w:pPr>
      <w:r w:rsidRPr="00ED6762">
        <w:t>United Nations Population Fund. 2016. ICPD Beyond 2014 High-Level Global Commitments. UNFPA</w:t>
      </w:r>
      <w:r>
        <w:t xml:space="preserve">. Retrieved from </w:t>
      </w:r>
      <w:r w:rsidRPr="00630E44">
        <w:t>https://www.unfpa.org/sites/default/files/pub-pdf/ICPD_UNGASS_REPORT_for_website.pdf</w:t>
      </w:r>
      <w:r>
        <w:t xml:space="preserve"> </w:t>
      </w:r>
    </w:p>
    <w:p w14:paraId="4BC6E87A" w14:textId="77777777" w:rsidR="004E3CF9" w:rsidRDefault="004E3CF9" w:rsidP="00113868">
      <w:pPr>
        <w:widowControl w:val="0"/>
        <w:tabs>
          <w:tab w:val="left" w:pos="450"/>
          <w:tab w:val="left" w:pos="720"/>
        </w:tabs>
        <w:spacing w:line="480" w:lineRule="auto"/>
        <w:ind w:left="720" w:hanging="720"/>
      </w:pPr>
      <w:r>
        <w:t xml:space="preserve">United Nations Women. 2017. Convention on the Elimination of all forms of Discrimination Against Women. Retrieved from </w:t>
      </w:r>
      <w:r w:rsidRPr="00310BFB">
        <w:t>http://www.un.org/womenwatch/daw/cedaw/</w:t>
      </w:r>
    </w:p>
    <w:p w14:paraId="28D1728E" w14:textId="77777777" w:rsidR="00257930" w:rsidRPr="00805C24" w:rsidRDefault="00257930" w:rsidP="00D549E9">
      <w:pPr>
        <w:widowControl w:val="0"/>
        <w:spacing w:line="480" w:lineRule="auto"/>
        <w:ind w:left="720" w:hanging="720"/>
        <w:rPr>
          <w:noProof/>
        </w:rPr>
      </w:pPr>
      <w:bookmarkStart w:id="7" w:name="_ENREF_2"/>
      <w:r w:rsidRPr="00805C24">
        <w:rPr>
          <w:noProof/>
        </w:rPr>
        <w:t xml:space="preserve">Whitener, E. M. 1990. Confusion of confidence intervals and credibility intervals in meta-analysis. </w:t>
      </w:r>
      <w:r w:rsidRPr="00805C24">
        <w:rPr>
          <w:i/>
          <w:noProof/>
        </w:rPr>
        <w:t xml:space="preserve">Journal of Applied Psychology, </w:t>
      </w:r>
      <w:r w:rsidRPr="00466A6A">
        <w:rPr>
          <w:noProof/>
        </w:rPr>
        <w:t>75</w:t>
      </w:r>
      <w:r w:rsidR="00B40E48">
        <w:rPr>
          <w:noProof/>
        </w:rPr>
        <w:t>:</w:t>
      </w:r>
      <w:r w:rsidRPr="00805C24">
        <w:rPr>
          <w:noProof/>
        </w:rPr>
        <w:t xml:space="preserve"> 315</w:t>
      </w:r>
      <w:r>
        <w:rPr>
          <w:noProof/>
        </w:rPr>
        <w:t>-321</w:t>
      </w:r>
      <w:r w:rsidRPr="00805C24">
        <w:rPr>
          <w:noProof/>
        </w:rPr>
        <w:t>.</w:t>
      </w:r>
      <w:bookmarkEnd w:id="7"/>
    </w:p>
    <w:p w14:paraId="06246A16" w14:textId="77777777" w:rsidR="00257930" w:rsidRPr="00602A49" w:rsidRDefault="00257930" w:rsidP="00D549E9">
      <w:pPr>
        <w:pStyle w:val="EndNoteBibliography"/>
        <w:widowControl w:val="0"/>
        <w:spacing w:after="0" w:line="480" w:lineRule="auto"/>
        <w:ind w:left="720" w:hanging="720"/>
        <w:rPr>
          <w:rFonts w:ascii="Times New Roman" w:hAnsi="Times New Roman" w:cs="Times New Roman"/>
          <w:sz w:val="24"/>
          <w:szCs w:val="24"/>
        </w:rPr>
      </w:pPr>
      <w:r w:rsidRPr="00602A49">
        <w:rPr>
          <w:rFonts w:ascii="Times New Roman" w:hAnsi="Times New Roman" w:cs="Times New Roman"/>
          <w:sz w:val="24"/>
          <w:szCs w:val="24"/>
        </w:rPr>
        <w:lastRenderedPageBreak/>
        <w:t xml:space="preserve">Williams, L. J., Hartman, N., &amp; Cavazotte, F. 2010. Method variance and marker variables: A review and comprehensive CFA marker technique. </w:t>
      </w:r>
      <w:r w:rsidRPr="00602A49">
        <w:rPr>
          <w:rFonts w:ascii="Times New Roman" w:hAnsi="Times New Roman" w:cs="Times New Roman"/>
          <w:i/>
          <w:sz w:val="24"/>
          <w:szCs w:val="24"/>
        </w:rPr>
        <w:t xml:space="preserve">Organizational Research Method, </w:t>
      </w:r>
      <w:r w:rsidRPr="003F6FB5">
        <w:rPr>
          <w:rFonts w:ascii="Times New Roman" w:hAnsi="Times New Roman" w:cs="Times New Roman"/>
          <w:sz w:val="24"/>
          <w:szCs w:val="24"/>
        </w:rPr>
        <w:t>13</w:t>
      </w:r>
      <w:r w:rsidR="0030407F">
        <w:rPr>
          <w:rFonts w:ascii="Times New Roman" w:hAnsi="Times New Roman" w:cs="Times New Roman"/>
          <w:sz w:val="24"/>
          <w:szCs w:val="24"/>
        </w:rPr>
        <w:t>:</w:t>
      </w:r>
      <w:r w:rsidRPr="00602A49">
        <w:rPr>
          <w:rFonts w:ascii="Times New Roman" w:hAnsi="Times New Roman" w:cs="Times New Roman"/>
          <w:i/>
          <w:sz w:val="24"/>
          <w:szCs w:val="24"/>
        </w:rPr>
        <w:t xml:space="preserve"> </w:t>
      </w:r>
      <w:r w:rsidRPr="00602A49">
        <w:rPr>
          <w:rFonts w:ascii="Times New Roman" w:hAnsi="Times New Roman" w:cs="Times New Roman"/>
          <w:sz w:val="24"/>
          <w:szCs w:val="24"/>
        </w:rPr>
        <w:t>477-514.</w:t>
      </w:r>
    </w:p>
    <w:p w14:paraId="3E067FD2" w14:textId="77777777" w:rsidR="00257930" w:rsidRDefault="00257930" w:rsidP="00D549E9">
      <w:pPr>
        <w:widowControl w:val="0"/>
        <w:suppressAutoHyphens w:val="0"/>
        <w:autoSpaceDE w:val="0"/>
        <w:autoSpaceDN w:val="0"/>
        <w:adjustRightInd w:val="0"/>
        <w:spacing w:line="480" w:lineRule="auto"/>
        <w:ind w:left="720" w:hanging="720"/>
      </w:pPr>
      <w:r w:rsidRPr="00F345C8">
        <w:t xml:space="preserve">Wood, J. 2008. Methodology for dealing with duplicate study effects in a meta-analysis. </w:t>
      </w:r>
      <w:r w:rsidRPr="00F345C8">
        <w:rPr>
          <w:i/>
          <w:iCs/>
        </w:rPr>
        <w:t>Organizational Research Methods</w:t>
      </w:r>
      <w:r>
        <w:t xml:space="preserve">, </w:t>
      </w:r>
      <w:r w:rsidRPr="00466A6A">
        <w:t>11</w:t>
      </w:r>
      <w:r w:rsidR="0030407F">
        <w:t>:</w:t>
      </w:r>
      <w:r>
        <w:t xml:space="preserve"> 79-95.</w:t>
      </w:r>
    </w:p>
    <w:p w14:paraId="1A626D1D" w14:textId="77777777" w:rsidR="0051465A" w:rsidRPr="0051465A" w:rsidRDefault="0051465A" w:rsidP="0051465A">
      <w:pPr>
        <w:widowControl w:val="0"/>
        <w:suppressAutoHyphens w:val="0"/>
        <w:autoSpaceDE w:val="0"/>
        <w:autoSpaceDN w:val="0"/>
        <w:adjustRightInd w:val="0"/>
        <w:spacing w:line="480" w:lineRule="auto"/>
        <w:ind w:left="720" w:hanging="720"/>
      </w:pPr>
      <w:r>
        <w:t xml:space="preserve">World Policy Analysis Center. 2017. </w:t>
      </w:r>
      <w:r w:rsidRPr="00452202">
        <w:t xml:space="preserve">Preventing gender-based workplace discrimination and sexual harassment: New data on 193 countries. </w:t>
      </w:r>
      <w:r>
        <w:t>Retri</w:t>
      </w:r>
      <w:r w:rsidR="00C711F5">
        <w:t>ev</w:t>
      </w:r>
      <w:r>
        <w:t xml:space="preserve">ed from </w:t>
      </w:r>
      <w:r w:rsidRPr="00113868">
        <w:t>https://www.</w:t>
      </w:r>
      <w:r>
        <w:t xml:space="preserve"> </w:t>
      </w:r>
      <w:r w:rsidRPr="00113868">
        <w:t>worldpolicycenter.org/sites/default/files/WORLD%20Discrimination%20at%20Work%20Report.pdf</w:t>
      </w:r>
      <w:r>
        <w:t xml:space="preserve"> </w:t>
      </w:r>
    </w:p>
    <w:p w14:paraId="4D00B27F" w14:textId="77777777" w:rsidR="00257930" w:rsidRDefault="00D91A46" w:rsidP="00FD115B">
      <w:pPr>
        <w:widowControl w:val="0"/>
        <w:suppressAutoHyphens w:val="0"/>
        <w:autoSpaceDE w:val="0"/>
        <w:autoSpaceDN w:val="0"/>
        <w:adjustRightInd w:val="0"/>
        <w:spacing w:line="480" w:lineRule="auto"/>
        <w:rPr>
          <w:b/>
        </w:rPr>
      </w:pPr>
      <w:r>
        <w:rPr>
          <w:i/>
        </w:rPr>
        <w:t xml:space="preserve">*Appendix </w:t>
      </w:r>
      <w:r w:rsidR="00BC1CC1">
        <w:rPr>
          <w:i/>
        </w:rPr>
        <w:t>G</w:t>
      </w:r>
      <w:r>
        <w:rPr>
          <w:i/>
        </w:rPr>
        <w:t xml:space="preserve"> in the online supplement contains the references for all the studies included in the meta-analysis.</w:t>
      </w:r>
      <w:r w:rsidR="00257930">
        <w:br w:type="page"/>
      </w:r>
    </w:p>
    <w:p w14:paraId="2ECC9E7C" w14:textId="77777777" w:rsidR="007C239F" w:rsidRDefault="007C239F" w:rsidP="00A00D59">
      <w:pPr>
        <w:widowControl w:val="0"/>
        <w:suppressAutoHyphens w:val="0"/>
        <w:sectPr w:rsidR="007C239F" w:rsidSect="006E2B0E">
          <w:endnotePr>
            <w:numFmt w:val="decimal"/>
          </w:endnotePr>
          <w:type w:val="continuous"/>
          <w:pgSz w:w="12240" w:h="15840"/>
          <w:pgMar w:top="1440" w:right="1440" w:bottom="1440" w:left="1440" w:header="720" w:footer="720" w:gutter="0"/>
          <w:cols w:space="720"/>
          <w:titlePg/>
          <w:docGrid w:linePitch="360"/>
        </w:sectPr>
      </w:pPr>
    </w:p>
    <w:p w14:paraId="7AE8C78C" w14:textId="77777777" w:rsidR="004B3DF5" w:rsidRPr="00085351" w:rsidRDefault="004B3DF5" w:rsidP="004B3DF5">
      <w:pPr>
        <w:spacing w:line="480" w:lineRule="auto"/>
        <w:jc w:val="center"/>
        <w:rPr>
          <w:b/>
        </w:rPr>
      </w:pPr>
      <w:r w:rsidRPr="00085351">
        <w:rPr>
          <w:b/>
        </w:rPr>
        <w:lastRenderedPageBreak/>
        <w:t>FOOTNOTES</w:t>
      </w:r>
    </w:p>
    <w:p w14:paraId="4F3C3128" w14:textId="77777777" w:rsidR="00A477F3" w:rsidRPr="00630E44" w:rsidRDefault="006A7584" w:rsidP="00A477F3">
      <w:pPr>
        <w:pStyle w:val="EndnoteText"/>
        <w:spacing w:line="480" w:lineRule="auto"/>
        <w:rPr>
          <w:sz w:val="24"/>
          <w:szCs w:val="24"/>
        </w:rPr>
      </w:pPr>
      <w:r w:rsidRPr="00113868">
        <w:rPr>
          <w:sz w:val="24"/>
          <w:szCs w:val="24"/>
          <w:vertAlign w:val="superscript"/>
        </w:rPr>
        <w:t>1</w:t>
      </w:r>
      <w:r>
        <w:rPr>
          <w:sz w:val="24"/>
          <w:szCs w:val="24"/>
        </w:rPr>
        <w:t xml:space="preserve"> </w:t>
      </w:r>
      <w:hyperlink w:anchor="_ENREF_1" w:tooltip="Hunter, 2004 #5" w:history="1">
        <w:r w:rsidR="00A477F3">
          <w:rPr>
            <w:noProof/>
            <w:sz w:val="24"/>
            <w:szCs w:val="24"/>
          </w:rPr>
          <w:t>Hunter and Schmidt’s</w:t>
        </w:r>
        <w:r w:rsidR="00A477F3" w:rsidRPr="00791DE5">
          <w:rPr>
            <w:noProof/>
            <w:sz w:val="24"/>
            <w:szCs w:val="24"/>
          </w:rPr>
          <w:t xml:space="preserve"> </w:t>
        </w:r>
        <w:r w:rsidR="00A477F3">
          <w:rPr>
            <w:noProof/>
            <w:sz w:val="24"/>
            <w:szCs w:val="24"/>
          </w:rPr>
          <w:t>(</w:t>
        </w:r>
        <w:r w:rsidR="00A477F3" w:rsidRPr="00791DE5">
          <w:rPr>
            <w:noProof/>
            <w:sz w:val="24"/>
            <w:szCs w:val="24"/>
          </w:rPr>
          <w:t>2004</w:t>
        </w:r>
      </w:hyperlink>
      <w:r w:rsidR="00A477F3">
        <w:rPr>
          <w:noProof/>
          <w:sz w:val="24"/>
          <w:szCs w:val="24"/>
        </w:rPr>
        <w:t>: 437)</w:t>
      </w:r>
      <w:r w:rsidR="00A477F3">
        <w:rPr>
          <w:sz w:val="24"/>
          <w:szCs w:val="24"/>
        </w:rPr>
        <w:t xml:space="preserve"> </w:t>
      </w:r>
      <w:r w:rsidR="00A477F3" w:rsidRPr="00791DE5">
        <w:rPr>
          <w:sz w:val="24"/>
          <w:szCs w:val="24"/>
        </w:rPr>
        <w:t>linear composite correlation</w:t>
      </w:r>
      <w:r w:rsidR="000A4B43">
        <w:rPr>
          <w:sz w:val="24"/>
          <w:szCs w:val="24"/>
        </w:rPr>
        <w:t>,</w:t>
      </w:r>
    </w:p>
    <w:p w14:paraId="5336A991" w14:textId="77777777" w:rsidR="00A477F3" w:rsidRDefault="00A477F3" w:rsidP="00A477F3">
      <w:pPr>
        <w:tabs>
          <w:tab w:val="left" w:pos="1119"/>
        </w:tabs>
        <w:ind w:left="720"/>
        <w:jc w:val="center"/>
      </w:pPr>
    </w:p>
    <w:p w14:paraId="7313F7F0" w14:textId="77777777" w:rsidR="0080535E" w:rsidRPr="0080535E" w:rsidRDefault="00901446" w:rsidP="00A477F3">
      <w:pPr>
        <w:pStyle w:val="CommentText"/>
        <w:spacing w:line="480" w:lineRule="auto"/>
      </w:pPr>
      <m:oMathPara>
        <m:oMath>
          <m:sSub>
            <m:sSubPr>
              <m:ctrlPr>
                <w:rPr>
                  <w:rFonts w:ascii="Cambria Math" w:hAnsi="Cambria Math"/>
                  <w:i/>
                </w:rPr>
              </m:ctrlPr>
            </m:sSubPr>
            <m:e>
              <m:r>
                <w:rPr>
                  <w:rFonts w:ascii="Cambria Math" w:hAnsi="Cambria Math"/>
                </w:rPr>
                <m:t>r</m:t>
              </m:r>
            </m:e>
            <m:sub>
              <m:r>
                <w:rPr>
                  <w:rFonts w:ascii="Cambria Math" w:hAnsi="Cambria Math"/>
                </w:rPr>
                <m:t>xy</m:t>
              </m:r>
            </m:sub>
          </m:sSub>
          <m:r>
            <w:rPr>
              <w:rFonts w:ascii="Cambria Math" w:hAnsi="Cambria Math"/>
            </w:rPr>
            <m:t>=</m:t>
          </m:r>
          <m:f>
            <m:fPr>
              <m:ctrlPr>
                <w:rPr>
                  <w:rFonts w:ascii="Cambria Math" w:hAnsi="Cambria Math"/>
                  <w:i/>
                </w:rPr>
              </m:ctrlPr>
            </m:fPr>
            <m:num>
              <m:bar>
                <m:barPr>
                  <m:ctrlPr>
                    <w:rPr>
                      <w:rFonts w:ascii="Cambria Math" w:hAnsi="Cambria Math"/>
                      <w:i/>
                    </w:rPr>
                  </m:ctrlPr>
                </m:barPr>
                <m:e>
                  <m:sSup>
                    <m:sSupPr>
                      <m:ctrlPr>
                        <w:rPr>
                          <w:rFonts w:ascii="Cambria Math" w:hAnsi="Cambria Math"/>
                          <w:i/>
                        </w:rPr>
                      </m:ctrlPr>
                    </m:sSupPr>
                    <m:e>
                      <m:r>
                        <w:rPr>
                          <w:rFonts w:ascii="Cambria Math" w:hAnsi="Cambria Math"/>
                        </w:rPr>
                        <m:t>1</m:t>
                      </m:r>
                    </m:e>
                    <m:sup>
                      <m:r>
                        <w:rPr>
                          <w:rFonts w:ascii="Cambria Math" w:hAnsi="Cambria Math"/>
                        </w:rPr>
                        <m:t>'</m:t>
                      </m:r>
                    </m:sup>
                  </m:sSup>
                </m:e>
              </m:bar>
              <m:sSub>
                <m:sSubPr>
                  <m:ctrlPr>
                    <w:rPr>
                      <w:rFonts w:ascii="Cambria Math" w:hAnsi="Cambria Math"/>
                      <w:i/>
                    </w:rPr>
                  </m:ctrlPr>
                </m:sSubPr>
                <m:e>
                  <m:r>
                    <w:rPr>
                      <w:rFonts w:ascii="Cambria Math" w:hAnsi="Cambria Math"/>
                    </w:rPr>
                    <m:t>R</m:t>
                  </m:r>
                </m:e>
                <m:sub>
                  <m:r>
                    <w:rPr>
                      <w:rFonts w:ascii="Cambria Math" w:hAnsi="Cambria Math"/>
                    </w:rPr>
                    <m:t>xy</m:t>
                  </m:r>
                </m:sub>
              </m:sSub>
              <m:bar>
                <m:barPr>
                  <m:ctrlPr>
                    <w:rPr>
                      <w:rFonts w:ascii="Cambria Math" w:hAnsi="Cambria Math"/>
                      <w:i/>
                    </w:rPr>
                  </m:ctrlPr>
                </m:barPr>
                <m:e>
                  <m:r>
                    <w:rPr>
                      <w:rFonts w:ascii="Cambria Math" w:hAnsi="Cambria Math"/>
                    </w:rPr>
                    <m:t>1</m:t>
                  </m:r>
                </m:e>
              </m:bar>
            </m:num>
            <m:den>
              <m:rad>
                <m:radPr>
                  <m:degHide m:val="1"/>
                  <m:ctrlPr>
                    <w:rPr>
                      <w:rFonts w:ascii="Cambria Math" w:hAnsi="Cambria Math"/>
                      <w:i/>
                    </w:rPr>
                  </m:ctrlPr>
                </m:radPr>
                <m:deg/>
                <m:e>
                  <m:bar>
                    <m:barPr>
                      <m:ctrlPr>
                        <w:rPr>
                          <w:rFonts w:ascii="Cambria Math" w:hAnsi="Cambria Math"/>
                          <w:i/>
                        </w:rPr>
                      </m:ctrlPr>
                    </m:barPr>
                    <m:e>
                      <m:sSup>
                        <m:sSupPr>
                          <m:ctrlPr>
                            <w:rPr>
                              <w:rFonts w:ascii="Cambria Math" w:hAnsi="Cambria Math"/>
                              <w:i/>
                            </w:rPr>
                          </m:ctrlPr>
                        </m:sSupPr>
                        <m:e>
                          <m:r>
                            <w:rPr>
                              <w:rFonts w:ascii="Cambria Math" w:hAnsi="Cambria Math"/>
                            </w:rPr>
                            <m:t>1</m:t>
                          </m:r>
                        </m:e>
                        <m:sup>
                          <m:r>
                            <w:rPr>
                              <w:rFonts w:ascii="Cambria Math" w:hAnsi="Cambria Math"/>
                            </w:rPr>
                            <m:t>'</m:t>
                          </m:r>
                        </m:sup>
                      </m:sSup>
                    </m:e>
                  </m:bar>
                  <m:sSub>
                    <m:sSubPr>
                      <m:ctrlPr>
                        <w:rPr>
                          <w:rFonts w:ascii="Cambria Math" w:hAnsi="Cambria Math"/>
                          <w:i/>
                        </w:rPr>
                      </m:ctrlPr>
                    </m:sSubPr>
                    <m:e>
                      <m:r>
                        <w:rPr>
                          <w:rFonts w:ascii="Cambria Math" w:hAnsi="Cambria Math"/>
                        </w:rPr>
                        <m:t>R</m:t>
                      </m:r>
                    </m:e>
                    <m:sub>
                      <m:r>
                        <w:rPr>
                          <w:rFonts w:ascii="Cambria Math" w:hAnsi="Cambria Math"/>
                        </w:rPr>
                        <m:t>xx</m:t>
                      </m:r>
                    </m:sub>
                  </m:sSub>
                  <m:bar>
                    <m:barPr>
                      <m:ctrlPr>
                        <w:rPr>
                          <w:rFonts w:ascii="Cambria Math" w:hAnsi="Cambria Math"/>
                          <w:i/>
                        </w:rPr>
                      </m:ctrlPr>
                    </m:barPr>
                    <m:e>
                      <m:r>
                        <w:rPr>
                          <w:rFonts w:ascii="Cambria Math" w:hAnsi="Cambria Math"/>
                        </w:rPr>
                        <m:t>1</m:t>
                      </m:r>
                    </m:e>
                  </m:bar>
                </m:e>
              </m:rad>
              <m:rad>
                <m:radPr>
                  <m:degHide m:val="1"/>
                  <m:ctrlPr>
                    <w:rPr>
                      <w:rFonts w:ascii="Cambria Math" w:hAnsi="Cambria Math"/>
                      <w:i/>
                    </w:rPr>
                  </m:ctrlPr>
                </m:radPr>
                <m:deg/>
                <m:e>
                  <m:bar>
                    <m:barPr>
                      <m:ctrlPr>
                        <w:rPr>
                          <w:rFonts w:ascii="Cambria Math" w:hAnsi="Cambria Math"/>
                          <w:i/>
                        </w:rPr>
                      </m:ctrlPr>
                    </m:barPr>
                    <m:e>
                      <m:sSup>
                        <m:sSupPr>
                          <m:ctrlPr>
                            <w:rPr>
                              <w:rFonts w:ascii="Cambria Math" w:hAnsi="Cambria Math"/>
                              <w:i/>
                            </w:rPr>
                          </m:ctrlPr>
                        </m:sSupPr>
                        <m:e>
                          <m:r>
                            <w:rPr>
                              <w:rFonts w:ascii="Cambria Math" w:hAnsi="Cambria Math"/>
                            </w:rPr>
                            <m:t>1</m:t>
                          </m:r>
                        </m:e>
                        <m:sup>
                          <m:r>
                            <w:rPr>
                              <w:rFonts w:ascii="Cambria Math" w:hAnsi="Cambria Math"/>
                            </w:rPr>
                            <m:t>'</m:t>
                          </m:r>
                        </m:sup>
                      </m:sSup>
                    </m:e>
                  </m:bar>
                  <m:sSub>
                    <m:sSubPr>
                      <m:ctrlPr>
                        <w:rPr>
                          <w:rFonts w:ascii="Cambria Math" w:hAnsi="Cambria Math"/>
                          <w:i/>
                        </w:rPr>
                      </m:ctrlPr>
                    </m:sSubPr>
                    <m:e>
                      <m:r>
                        <w:rPr>
                          <w:rFonts w:ascii="Cambria Math" w:hAnsi="Cambria Math"/>
                        </w:rPr>
                        <m:t>R</m:t>
                      </m:r>
                    </m:e>
                    <m:sub>
                      <m:r>
                        <w:rPr>
                          <w:rFonts w:ascii="Cambria Math" w:hAnsi="Cambria Math"/>
                        </w:rPr>
                        <m:t>yy</m:t>
                      </m:r>
                    </m:sub>
                  </m:sSub>
                  <m:bar>
                    <m:barPr>
                      <m:ctrlPr>
                        <w:rPr>
                          <w:rFonts w:ascii="Cambria Math" w:hAnsi="Cambria Math"/>
                          <w:i/>
                        </w:rPr>
                      </m:ctrlPr>
                    </m:barPr>
                    <m:e>
                      <m:r>
                        <w:rPr>
                          <w:rFonts w:ascii="Cambria Math" w:hAnsi="Cambria Math"/>
                        </w:rPr>
                        <m:t>1</m:t>
                      </m:r>
                    </m:e>
                  </m:bar>
                </m:e>
              </m:rad>
              <m:r>
                <w:rPr>
                  <w:rFonts w:ascii="Cambria Math" w:hAnsi="Cambria Math"/>
                </w:rPr>
                <m:t>)</m:t>
              </m:r>
            </m:den>
          </m:f>
        </m:oMath>
      </m:oMathPara>
    </w:p>
    <w:p w14:paraId="601BB157" w14:textId="1D6E6712" w:rsidR="00A477F3" w:rsidRPr="0080535E" w:rsidRDefault="00A477F3" w:rsidP="00A477F3">
      <w:pPr>
        <w:pStyle w:val="CommentText"/>
        <w:spacing w:line="480" w:lineRule="auto"/>
      </w:pPr>
      <w:r>
        <w:rPr>
          <w:sz w:val="24"/>
          <w:szCs w:val="24"/>
        </w:rPr>
        <w:t xml:space="preserve">where </w:t>
      </w:r>
      <m:oMath>
        <m:sSub>
          <m:sSubPr>
            <m:ctrlPr>
              <w:rPr>
                <w:rFonts w:ascii="Cambria Math" w:hAnsi="Cambria Math"/>
                <w:i/>
              </w:rPr>
            </m:ctrlPr>
          </m:sSubPr>
          <m:e>
            <m:r>
              <w:rPr>
                <w:rFonts w:ascii="Cambria Math" w:hAnsi="Cambria Math"/>
              </w:rPr>
              <m:t>r</m:t>
            </m:r>
          </m:e>
          <m:sub>
            <m:r>
              <w:rPr>
                <w:rFonts w:ascii="Cambria Math" w:hAnsi="Cambria Math"/>
              </w:rPr>
              <m:t>xy</m:t>
            </m:r>
          </m:sub>
        </m:sSub>
      </m:oMath>
      <w:r>
        <w:rPr>
          <w:sz w:val="24"/>
          <w:szCs w:val="24"/>
        </w:rPr>
        <w:t xml:space="preserve"> is the linear composite correlation, </w:t>
      </w:r>
      <m:oMath>
        <m:bar>
          <m:barPr>
            <m:ctrlPr>
              <w:rPr>
                <w:rFonts w:ascii="Cambria Math" w:hAnsi="Cambria Math"/>
                <w:i/>
              </w:rPr>
            </m:ctrlPr>
          </m:barPr>
          <m:e>
            <m:r>
              <w:rPr>
                <w:rFonts w:ascii="Cambria Math" w:hAnsi="Cambria Math"/>
              </w:rPr>
              <m:t>1</m:t>
            </m:r>
          </m:e>
        </m:bar>
      </m:oMath>
      <w:r w:rsidR="008D2C13">
        <w:rPr>
          <w:sz w:val="24"/>
          <w:szCs w:val="24"/>
        </w:rPr>
        <w:t xml:space="preserve"> is the </w:t>
      </w:r>
      <m:oMath>
        <m:r>
          <w:rPr>
            <w:rFonts w:ascii="Cambria Math" w:hAnsi="Cambria Math"/>
            <w:sz w:val="24"/>
            <w:szCs w:val="24"/>
          </w:rPr>
          <m:t>p×1</m:t>
        </m:r>
      </m:oMath>
      <w:r w:rsidR="008D2C13">
        <w:rPr>
          <w:sz w:val="24"/>
          <w:szCs w:val="24"/>
        </w:rPr>
        <w:t xml:space="preserve"> </w:t>
      </w:r>
      <w:r w:rsidR="00F71737">
        <w:rPr>
          <w:sz w:val="24"/>
          <w:szCs w:val="24"/>
        </w:rPr>
        <w:t>vector of ones</w:t>
      </w:r>
      <w:r w:rsidR="00E40FBE">
        <w:rPr>
          <w:sz w:val="24"/>
          <w:szCs w:val="24"/>
        </w:rPr>
        <w:t xml:space="preserve"> (</w:t>
      </w:r>
      <w:r w:rsidR="00B07C9E">
        <w:rPr>
          <w:i/>
          <w:sz w:val="24"/>
          <w:szCs w:val="24"/>
        </w:rPr>
        <w:t>p</w:t>
      </w:r>
      <w:r w:rsidR="00E91E9F">
        <w:rPr>
          <w:i/>
          <w:sz w:val="24"/>
          <w:szCs w:val="24"/>
        </w:rPr>
        <w:t xml:space="preserve"> </w:t>
      </w:r>
      <w:r w:rsidR="00E40FBE">
        <w:rPr>
          <w:sz w:val="24"/>
          <w:szCs w:val="24"/>
        </w:rPr>
        <w:t>=</w:t>
      </w:r>
      <w:r w:rsidR="00E91E9F">
        <w:rPr>
          <w:sz w:val="24"/>
          <w:szCs w:val="24"/>
        </w:rPr>
        <w:t xml:space="preserve"> </w:t>
      </w:r>
      <w:r w:rsidR="00E40FBE">
        <w:rPr>
          <w:sz w:val="24"/>
          <w:szCs w:val="24"/>
        </w:rPr>
        <w:t xml:space="preserve">number of </w:t>
      </w:r>
      <m:oMath>
        <m:r>
          <w:rPr>
            <w:rFonts w:ascii="Cambria Math" w:hAnsi="Cambria Math"/>
            <w:sz w:val="24"/>
            <w:szCs w:val="24"/>
          </w:rPr>
          <m:t>y</m:t>
        </m:r>
      </m:oMath>
      <w:r w:rsidR="00E40FBE">
        <w:rPr>
          <w:sz w:val="24"/>
          <w:szCs w:val="24"/>
        </w:rPr>
        <w:t>)</w:t>
      </w:r>
      <w:r w:rsidR="008D2C13">
        <w:rPr>
          <w:sz w:val="24"/>
          <w:szCs w:val="24"/>
        </w:rPr>
        <w:t xml:space="preserve">, </w:t>
      </w:r>
      <m:oMath>
        <m:bar>
          <m:barPr>
            <m:ctrlPr>
              <w:rPr>
                <w:rFonts w:ascii="Cambria Math" w:hAnsi="Cambria Math"/>
                <w:i/>
              </w:rPr>
            </m:ctrlPr>
          </m:barPr>
          <m:e>
            <m:sSup>
              <m:sSupPr>
                <m:ctrlPr>
                  <w:rPr>
                    <w:rFonts w:ascii="Cambria Math" w:hAnsi="Cambria Math"/>
                    <w:i/>
                  </w:rPr>
                </m:ctrlPr>
              </m:sSupPr>
              <m:e>
                <m:r>
                  <w:rPr>
                    <w:rFonts w:ascii="Cambria Math" w:hAnsi="Cambria Math"/>
                  </w:rPr>
                  <m:t>1</m:t>
                </m:r>
              </m:e>
              <m:sup>
                <m:r>
                  <w:rPr>
                    <w:rFonts w:ascii="Cambria Math" w:hAnsi="Cambria Math"/>
                  </w:rPr>
                  <m:t>'</m:t>
                </m:r>
              </m:sup>
            </m:sSup>
          </m:e>
        </m:bar>
      </m:oMath>
      <w:r w:rsidR="008D2C13">
        <w:rPr>
          <w:sz w:val="24"/>
          <w:szCs w:val="24"/>
        </w:rPr>
        <w:t xml:space="preserve"> is </w:t>
      </w:r>
      <w:r w:rsidR="00F71737">
        <w:rPr>
          <w:sz w:val="24"/>
          <w:szCs w:val="24"/>
        </w:rPr>
        <w:t xml:space="preserve">the </w:t>
      </w:r>
      <m:oMath>
        <m:r>
          <w:rPr>
            <w:rFonts w:ascii="Cambria Math" w:hAnsi="Cambria Math"/>
            <w:sz w:val="24"/>
            <w:szCs w:val="24"/>
          </w:rPr>
          <m:t>1×k</m:t>
        </m:r>
      </m:oMath>
      <w:r w:rsidR="00F71737">
        <w:rPr>
          <w:sz w:val="24"/>
          <w:szCs w:val="24"/>
        </w:rPr>
        <w:t xml:space="preserve"> vector of ones</w:t>
      </w:r>
      <w:r w:rsidR="009523A3">
        <w:rPr>
          <w:sz w:val="24"/>
          <w:szCs w:val="24"/>
        </w:rPr>
        <w:t xml:space="preserve"> (</w:t>
      </w:r>
      <w:r w:rsidR="009523A3">
        <w:rPr>
          <w:i/>
          <w:sz w:val="24"/>
          <w:szCs w:val="24"/>
        </w:rPr>
        <w:t>k</w:t>
      </w:r>
      <w:r w:rsidR="00E91E9F">
        <w:rPr>
          <w:i/>
          <w:sz w:val="24"/>
          <w:szCs w:val="24"/>
        </w:rPr>
        <w:t xml:space="preserve"> </w:t>
      </w:r>
      <w:r w:rsidR="009523A3">
        <w:rPr>
          <w:sz w:val="24"/>
          <w:szCs w:val="24"/>
        </w:rPr>
        <w:t>=</w:t>
      </w:r>
      <w:r w:rsidR="00E91E9F">
        <w:rPr>
          <w:sz w:val="24"/>
          <w:szCs w:val="24"/>
        </w:rPr>
        <w:t xml:space="preserve"> </w:t>
      </w:r>
      <w:r w:rsidR="009523A3">
        <w:rPr>
          <w:sz w:val="24"/>
          <w:szCs w:val="24"/>
        </w:rPr>
        <w:t xml:space="preserve">number of </w:t>
      </w:r>
      <m:oMath>
        <m:r>
          <w:rPr>
            <w:rFonts w:ascii="Cambria Math" w:hAnsi="Cambria Math"/>
            <w:sz w:val="24"/>
            <w:szCs w:val="24"/>
          </w:rPr>
          <m:t>x</m:t>
        </m:r>
      </m:oMath>
      <w:r w:rsidR="009523A3">
        <w:rPr>
          <w:sz w:val="24"/>
          <w:szCs w:val="24"/>
        </w:rPr>
        <w:t>)</w:t>
      </w:r>
      <w:r w:rsidR="008D2C13">
        <w:rPr>
          <w:sz w:val="24"/>
          <w:szCs w:val="24"/>
        </w:rPr>
        <w:t xml:space="preserve">, </w:t>
      </w:r>
      <m:oMath>
        <m:sSub>
          <m:sSubPr>
            <m:ctrlPr>
              <w:rPr>
                <w:rFonts w:ascii="Cambria Math" w:hAnsi="Cambria Math"/>
                <w:i/>
              </w:rPr>
            </m:ctrlPr>
          </m:sSubPr>
          <m:e>
            <m:r>
              <w:rPr>
                <w:rFonts w:ascii="Cambria Math" w:hAnsi="Cambria Math"/>
              </w:rPr>
              <m:t>R</m:t>
            </m:r>
          </m:e>
          <m:sub>
            <m:r>
              <w:rPr>
                <w:rFonts w:ascii="Cambria Math" w:hAnsi="Cambria Math"/>
              </w:rPr>
              <m:t>xy</m:t>
            </m:r>
          </m:sub>
        </m:sSub>
      </m:oMath>
      <w:r>
        <w:rPr>
          <w:sz w:val="24"/>
          <w:szCs w:val="24"/>
        </w:rPr>
        <w:t xml:space="preserve"> is the matrix of the cross correlations between </w:t>
      </w:r>
      <m:oMath>
        <m:r>
          <w:rPr>
            <w:rFonts w:ascii="Cambria Math" w:hAnsi="Cambria Math"/>
            <w:sz w:val="24"/>
            <w:szCs w:val="24"/>
          </w:rPr>
          <m:t>x</m:t>
        </m:r>
      </m:oMath>
      <w:r w:rsidR="008D2C13">
        <w:rPr>
          <w:sz w:val="24"/>
          <w:szCs w:val="24"/>
        </w:rPr>
        <w:t xml:space="preserve"> </w:t>
      </w:r>
      <w:r>
        <w:rPr>
          <w:sz w:val="24"/>
          <w:szCs w:val="24"/>
        </w:rPr>
        <w:t xml:space="preserve">and </w:t>
      </w:r>
      <m:oMath>
        <m:r>
          <w:rPr>
            <w:rFonts w:ascii="Cambria Math" w:hAnsi="Cambria Math"/>
            <w:sz w:val="24"/>
            <w:szCs w:val="24"/>
          </w:rPr>
          <m:t>y</m:t>
        </m:r>
      </m:oMath>
      <w:r w:rsidR="008D2C13" w:rsidDel="008D2C13">
        <w:rPr>
          <w:sz w:val="24"/>
          <w:szCs w:val="24"/>
        </w:rPr>
        <w:t xml:space="preserve"> </w:t>
      </w:r>
      <w:r>
        <w:rPr>
          <w:sz w:val="24"/>
          <w:szCs w:val="24"/>
        </w:rPr>
        <w:t xml:space="preserve">variables/measures, </w:t>
      </w:r>
      <m:oMath>
        <m:sSub>
          <m:sSubPr>
            <m:ctrlPr>
              <w:rPr>
                <w:rFonts w:ascii="Cambria Math" w:hAnsi="Cambria Math"/>
                <w:i/>
              </w:rPr>
            </m:ctrlPr>
          </m:sSubPr>
          <m:e>
            <m:r>
              <w:rPr>
                <w:rFonts w:ascii="Cambria Math" w:hAnsi="Cambria Math"/>
              </w:rPr>
              <m:t>R</m:t>
            </m:r>
          </m:e>
          <m:sub>
            <m:r>
              <w:rPr>
                <w:rFonts w:ascii="Cambria Math" w:hAnsi="Cambria Math"/>
              </w:rPr>
              <m:t>xx</m:t>
            </m:r>
          </m:sub>
        </m:sSub>
      </m:oMath>
      <w:r>
        <w:rPr>
          <w:sz w:val="24"/>
          <w:szCs w:val="24"/>
        </w:rPr>
        <w:t xml:space="preserve"> is the matrix of correlations between </w:t>
      </w:r>
      <m:oMath>
        <m:r>
          <w:rPr>
            <w:rFonts w:ascii="Cambria Math" w:hAnsi="Cambria Math"/>
            <w:sz w:val="24"/>
            <w:szCs w:val="24"/>
          </w:rPr>
          <m:t>x</m:t>
        </m:r>
      </m:oMath>
      <w:r w:rsidR="008D2C13">
        <w:rPr>
          <w:sz w:val="24"/>
          <w:szCs w:val="24"/>
        </w:rPr>
        <w:t xml:space="preserve"> </w:t>
      </w:r>
      <w:r>
        <w:rPr>
          <w:sz w:val="24"/>
          <w:szCs w:val="24"/>
        </w:rPr>
        <w:t xml:space="preserve">variables/measures, and </w:t>
      </w:r>
      <m:oMath>
        <m:sSub>
          <m:sSubPr>
            <m:ctrlPr>
              <w:rPr>
                <w:rFonts w:ascii="Cambria Math" w:hAnsi="Cambria Math"/>
                <w:i/>
              </w:rPr>
            </m:ctrlPr>
          </m:sSubPr>
          <m:e>
            <m:r>
              <w:rPr>
                <w:rFonts w:ascii="Cambria Math" w:hAnsi="Cambria Math"/>
              </w:rPr>
              <m:t>R</m:t>
            </m:r>
          </m:e>
          <m:sub>
            <m:r>
              <w:rPr>
                <w:rFonts w:ascii="Cambria Math" w:hAnsi="Cambria Math"/>
              </w:rPr>
              <m:t>yy</m:t>
            </m:r>
          </m:sub>
        </m:sSub>
      </m:oMath>
      <w:r>
        <w:rPr>
          <w:sz w:val="24"/>
          <w:szCs w:val="24"/>
        </w:rPr>
        <w:t xml:space="preserve"> is the matrix of correlations between </w:t>
      </w:r>
      <m:oMath>
        <m:r>
          <w:rPr>
            <w:rFonts w:ascii="Cambria Math" w:hAnsi="Cambria Math"/>
            <w:sz w:val="24"/>
            <w:szCs w:val="24"/>
          </w:rPr>
          <m:t>y</m:t>
        </m:r>
      </m:oMath>
      <w:r w:rsidR="008D2C13" w:rsidDel="008D2C13">
        <w:rPr>
          <w:sz w:val="24"/>
          <w:szCs w:val="24"/>
        </w:rPr>
        <w:t xml:space="preserve"> </w:t>
      </w:r>
      <w:r>
        <w:rPr>
          <w:sz w:val="24"/>
          <w:szCs w:val="24"/>
        </w:rPr>
        <w:t>variables/measures.</w:t>
      </w:r>
    </w:p>
    <w:p w14:paraId="216F39E3" w14:textId="77777777" w:rsidR="004B3DF5" w:rsidRPr="00630E44" w:rsidRDefault="008B3F10" w:rsidP="004B3DF5">
      <w:pPr>
        <w:pStyle w:val="EndnoteText"/>
        <w:spacing w:line="480" w:lineRule="auto"/>
        <w:rPr>
          <w:sz w:val="24"/>
          <w:szCs w:val="24"/>
        </w:rPr>
      </w:pPr>
      <w:r>
        <w:rPr>
          <w:rStyle w:val="EndnoteReference"/>
          <w:sz w:val="24"/>
          <w:szCs w:val="24"/>
        </w:rPr>
        <w:t>2</w:t>
      </w:r>
      <w:r w:rsidR="00A477F3" w:rsidRPr="00A477F3">
        <w:rPr>
          <w:sz w:val="24"/>
          <w:szCs w:val="24"/>
        </w:rPr>
        <w:t xml:space="preserve"> </w:t>
      </w:r>
      <w:r w:rsidR="004B3DF5" w:rsidRPr="00630E44">
        <w:rPr>
          <w:sz w:val="24"/>
          <w:szCs w:val="24"/>
        </w:rPr>
        <w:t xml:space="preserve">Across the original 128 countries included in the WEOI data, the correlation between the labor policy indices for 2010 and 2012 was .95. The correlation between the labor practice indices for 2010 and 2012 was .92. In our sample, the longitudinal components of the labor policy and practice index, </w:t>
      </w:r>
      <w:r w:rsidR="004B3DF5">
        <w:rPr>
          <w:sz w:val="24"/>
          <w:szCs w:val="24"/>
        </w:rPr>
        <w:t>e</w:t>
      </w:r>
      <w:r w:rsidR="004B3DF5" w:rsidRPr="00630E44">
        <w:rPr>
          <w:sz w:val="24"/>
          <w:szCs w:val="24"/>
        </w:rPr>
        <w:t>qual pay for equal work</w:t>
      </w:r>
      <w:r w:rsidR="001D0AB6">
        <w:rPr>
          <w:sz w:val="24"/>
          <w:szCs w:val="24"/>
        </w:rPr>
        <w:t>,</w:t>
      </w:r>
      <w:r w:rsidR="004B3DF5" w:rsidRPr="00630E44">
        <w:rPr>
          <w:sz w:val="24"/>
          <w:szCs w:val="24"/>
        </w:rPr>
        <w:t xml:space="preserve"> and non-discrimination </w:t>
      </w:r>
      <w:r w:rsidR="001D0AB6">
        <w:rPr>
          <w:sz w:val="24"/>
          <w:szCs w:val="24"/>
        </w:rPr>
        <w:t>(</w:t>
      </w:r>
      <w:r w:rsidR="004B3DF5" w:rsidRPr="00630E44">
        <w:rPr>
          <w:sz w:val="24"/>
          <w:szCs w:val="24"/>
        </w:rPr>
        <w:t>based on ILO reports from 2003 to 2010</w:t>
      </w:r>
      <w:r w:rsidR="001D0AB6">
        <w:rPr>
          <w:sz w:val="24"/>
          <w:szCs w:val="24"/>
        </w:rPr>
        <w:t>)</w:t>
      </w:r>
      <w:r w:rsidR="004B3DF5" w:rsidRPr="00630E44">
        <w:rPr>
          <w:sz w:val="24"/>
          <w:szCs w:val="24"/>
        </w:rPr>
        <w:t xml:space="preserve"> </w:t>
      </w:r>
      <w:r w:rsidR="001D0AB6">
        <w:rPr>
          <w:sz w:val="24"/>
          <w:szCs w:val="24"/>
        </w:rPr>
        <w:t xml:space="preserve">were strongly </w:t>
      </w:r>
      <w:r w:rsidR="004B3DF5" w:rsidRPr="00630E44">
        <w:rPr>
          <w:sz w:val="24"/>
          <w:szCs w:val="24"/>
        </w:rPr>
        <w:t>correlat</w:t>
      </w:r>
      <w:r w:rsidR="001D0AB6">
        <w:rPr>
          <w:sz w:val="24"/>
          <w:szCs w:val="24"/>
        </w:rPr>
        <w:t>ed</w:t>
      </w:r>
      <w:r w:rsidR="004B3DF5" w:rsidRPr="00630E44">
        <w:rPr>
          <w:sz w:val="24"/>
          <w:szCs w:val="24"/>
        </w:rPr>
        <w:t xml:space="preserve"> with the overall labor policy and practice index (e.g., equal pay policy integration </w:t>
      </w:r>
      <w:r w:rsidR="004B3DF5" w:rsidRPr="00630E44">
        <w:rPr>
          <w:i/>
          <w:sz w:val="24"/>
          <w:szCs w:val="24"/>
        </w:rPr>
        <w:t>r</w:t>
      </w:r>
      <w:r w:rsidR="004B3DF5" w:rsidRPr="00630E44">
        <w:rPr>
          <w:sz w:val="24"/>
          <w:szCs w:val="24"/>
        </w:rPr>
        <w:t xml:space="preserve"> = .67, </w:t>
      </w:r>
      <w:r w:rsidR="004B3DF5" w:rsidRPr="00630E44">
        <w:rPr>
          <w:i/>
          <w:sz w:val="24"/>
          <w:szCs w:val="24"/>
        </w:rPr>
        <w:t>p</w:t>
      </w:r>
      <w:r w:rsidR="004B3DF5" w:rsidRPr="00630E44">
        <w:rPr>
          <w:sz w:val="24"/>
          <w:szCs w:val="24"/>
        </w:rPr>
        <w:t xml:space="preserve"> &lt; .05; non-discrimination policy integration </w:t>
      </w:r>
      <w:r w:rsidR="004B3DF5" w:rsidRPr="00630E44">
        <w:rPr>
          <w:i/>
          <w:sz w:val="24"/>
          <w:szCs w:val="24"/>
        </w:rPr>
        <w:t>r</w:t>
      </w:r>
      <w:r w:rsidR="004B3DF5" w:rsidRPr="00630E44">
        <w:rPr>
          <w:sz w:val="24"/>
          <w:szCs w:val="24"/>
        </w:rPr>
        <w:t xml:space="preserve"> = .69, </w:t>
      </w:r>
      <w:r w:rsidR="004B3DF5" w:rsidRPr="00630E44">
        <w:rPr>
          <w:i/>
          <w:sz w:val="24"/>
          <w:szCs w:val="24"/>
        </w:rPr>
        <w:t>p</w:t>
      </w:r>
      <w:r w:rsidR="004B3DF5" w:rsidRPr="00630E44">
        <w:rPr>
          <w:sz w:val="24"/>
          <w:szCs w:val="24"/>
        </w:rPr>
        <w:t xml:space="preserve"> &lt; .05; equal pay practice enforcement </w:t>
      </w:r>
      <w:r w:rsidR="004B3DF5" w:rsidRPr="00630E44">
        <w:rPr>
          <w:i/>
          <w:sz w:val="24"/>
          <w:szCs w:val="24"/>
        </w:rPr>
        <w:t>r</w:t>
      </w:r>
      <w:r w:rsidR="004B3DF5" w:rsidRPr="00630E44">
        <w:rPr>
          <w:sz w:val="24"/>
          <w:szCs w:val="24"/>
        </w:rPr>
        <w:t xml:space="preserve"> = .76). </w:t>
      </w:r>
      <w:r w:rsidR="001D0AB6">
        <w:rPr>
          <w:sz w:val="24"/>
          <w:szCs w:val="24"/>
        </w:rPr>
        <w:t>I</w:t>
      </w:r>
      <w:r w:rsidR="004B3DF5" w:rsidRPr="00630E44">
        <w:rPr>
          <w:sz w:val="24"/>
          <w:szCs w:val="24"/>
        </w:rPr>
        <w:t xml:space="preserve">n the full WEOI data for 2012, these longitudinal components </w:t>
      </w:r>
      <w:r w:rsidR="001D0AB6">
        <w:rPr>
          <w:sz w:val="24"/>
          <w:szCs w:val="24"/>
        </w:rPr>
        <w:t>are strongly correlated</w:t>
      </w:r>
      <w:r w:rsidR="004B3DF5" w:rsidRPr="00630E44">
        <w:rPr>
          <w:sz w:val="24"/>
          <w:szCs w:val="24"/>
        </w:rPr>
        <w:t xml:space="preserve"> with the labor policy/practice index (e.g., equal pay policy integration </w:t>
      </w:r>
      <w:r w:rsidR="004B3DF5" w:rsidRPr="00630E44">
        <w:rPr>
          <w:i/>
          <w:sz w:val="24"/>
          <w:szCs w:val="24"/>
        </w:rPr>
        <w:t>r</w:t>
      </w:r>
      <w:r w:rsidR="004B3DF5" w:rsidRPr="00630E44">
        <w:rPr>
          <w:sz w:val="24"/>
          <w:szCs w:val="24"/>
        </w:rPr>
        <w:t xml:space="preserve"> = .75, </w:t>
      </w:r>
      <w:r w:rsidR="004B3DF5" w:rsidRPr="00630E44">
        <w:rPr>
          <w:i/>
          <w:sz w:val="24"/>
          <w:szCs w:val="24"/>
        </w:rPr>
        <w:t>p</w:t>
      </w:r>
      <w:r w:rsidR="004B3DF5" w:rsidRPr="00630E44">
        <w:rPr>
          <w:sz w:val="24"/>
          <w:szCs w:val="24"/>
        </w:rPr>
        <w:t xml:space="preserve"> &lt; .01; non-discrimination policy integration </w:t>
      </w:r>
      <w:r w:rsidR="004B3DF5" w:rsidRPr="00630E44">
        <w:rPr>
          <w:i/>
          <w:sz w:val="24"/>
          <w:szCs w:val="24"/>
        </w:rPr>
        <w:t>r</w:t>
      </w:r>
      <w:r w:rsidR="004B3DF5" w:rsidRPr="00630E44">
        <w:rPr>
          <w:sz w:val="24"/>
          <w:szCs w:val="24"/>
        </w:rPr>
        <w:t xml:space="preserve"> = .72, </w:t>
      </w:r>
      <w:r w:rsidR="004B3DF5" w:rsidRPr="00630E44">
        <w:rPr>
          <w:i/>
          <w:sz w:val="24"/>
          <w:szCs w:val="24"/>
        </w:rPr>
        <w:t>p</w:t>
      </w:r>
      <w:r w:rsidR="004B3DF5" w:rsidRPr="00630E44">
        <w:rPr>
          <w:sz w:val="24"/>
          <w:szCs w:val="24"/>
        </w:rPr>
        <w:t xml:space="preserve"> &lt; .01; equal pay practice enforcement </w:t>
      </w:r>
      <w:r w:rsidR="004B3DF5" w:rsidRPr="00630E44">
        <w:rPr>
          <w:i/>
          <w:sz w:val="24"/>
          <w:szCs w:val="24"/>
        </w:rPr>
        <w:t>r</w:t>
      </w:r>
      <w:r w:rsidR="004B3DF5" w:rsidRPr="00630E44">
        <w:rPr>
          <w:sz w:val="24"/>
          <w:szCs w:val="24"/>
        </w:rPr>
        <w:t xml:space="preserve"> = .82, </w:t>
      </w:r>
      <w:r w:rsidR="004B3DF5" w:rsidRPr="00630E44">
        <w:rPr>
          <w:i/>
          <w:sz w:val="24"/>
          <w:szCs w:val="24"/>
        </w:rPr>
        <w:t>p</w:t>
      </w:r>
      <w:r w:rsidR="004B3DF5" w:rsidRPr="00630E44">
        <w:rPr>
          <w:sz w:val="24"/>
          <w:szCs w:val="24"/>
        </w:rPr>
        <w:t xml:space="preserve"> &lt; .01; non-discrimination practice enforcement </w:t>
      </w:r>
      <w:r w:rsidR="004B3DF5" w:rsidRPr="00630E44">
        <w:rPr>
          <w:i/>
          <w:sz w:val="24"/>
          <w:szCs w:val="24"/>
        </w:rPr>
        <w:t>r</w:t>
      </w:r>
      <w:r w:rsidR="004B3DF5" w:rsidRPr="00630E44">
        <w:rPr>
          <w:sz w:val="24"/>
          <w:szCs w:val="24"/>
        </w:rPr>
        <w:t xml:space="preserve"> = .76, </w:t>
      </w:r>
      <w:r w:rsidR="004B3DF5" w:rsidRPr="00630E44">
        <w:rPr>
          <w:i/>
          <w:sz w:val="24"/>
          <w:szCs w:val="24"/>
        </w:rPr>
        <w:t>p</w:t>
      </w:r>
      <w:r w:rsidR="004B3DF5" w:rsidRPr="00630E44">
        <w:rPr>
          <w:sz w:val="24"/>
          <w:szCs w:val="24"/>
        </w:rPr>
        <w:t xml:space="preserve"> &lt; .01).</w:t>
      </w:r>
    </w:p>
    <w:p w14:paraId="430C86CA" w14:textId="77777777" w:rsidR="004B3DF5" w:rsidRDefault="008B3F10" w:rsidP="001D0AB6">
      <w:pPr>
        <w:spacing w:line="480" w:lineRule="auto"/>
      </w:pPr>
      <w:r>
        <w:rPr>
          <w:vertAlign w:val="superscript"/>
        </w:rPr>
        <w:t>3</w:t>
      </w:r>
      <w:r w:rsidR="004B3DF5">
        <w:t xml:space="preserve"> </w:t>
      </w:r>
      <w:r w:rsidR="004B3DF5" w:rsidRPr="00630E44">
        <w:t>We also attempted to ex</w:t>
      </w:r>
      <w:r w:rsidR="004B3DF5">
        <w:t>amin</w:t>
      </w:r>
      <w:r w:rsidR="004B3DF5" w:rsidRPr="00630E44">
        <w:t>e the moderating effect of outcome source as an alternative to gauging the degree of bias from method variance. However, upon inspection of the outcome sources in our data set, all but two were same-source outcomes. Since these two were also for different outcome categories we did not have sufficient studies to proceed with this moderator analysis.</w:t>
      </w:r>
    </w:p>
    <w:p w14:paraId="529BDE9B" w14:textId="77777777" w:rsidR="00866420" w:rsidRPr="00805C24" w:rsidRDefault="00866420" w:rsidP="00164F89">
      <w:pPr>
        <w:widowControl w:val="0"/>
        <w:spacing w:line="480" w:lineRule="auto"/>
        <w:jc w:val="center"/>
        <w:sectPr w:rsidR="00866420" w:rsidRPr="00805C24" w:rsidSect="005C407B">
          <w:endnotePr>
            <w:numFmt w:val="decimal"/>
          </w:endnotePr>
          <w:pgSz w:w="12240" w:h="15840"/>
          <w:pgMar w:top="1440" w:right="1440" w:bottom="1440" w:left="1440" w:header="720" w:footer="720" w:gutter="0"/>
          <w:cols w:space="720"/>
          <w:titlePg/>
          <w:docGrid w:linePitch="360"/>
        </w:sectPr>
      </w:pPr>
    </w:p>
    <w:p w14:paraId="40B7B760" w14:textId="77777777" w:rsidR="008C571D" w:rsidRDefault="008C571D" w:rsidP="008C571D">
      <w:pPr>
        <w:jc w:val="center"/>
      </w:pPr>
      <w:r w:rsidRPr="009E1F0B">
        <w:lastRenderedPageBreak/>
        <w:t>Table 1</w:t>
      </w:r>
    </w:p>
    <w:p w14:paraId="5E7BF6D7" w14:textId="4A6FC27C" w:rsidR="00266503" w:rsidRPr="009E1F0B" w:rsidRDefault="008C571D" w:rsidP="008C571D">
      <w:pPr>
        <w:jc w:val="center"/>
        <w:rPr>
          <w:i/>
        </w:rPr>
      </w:pPr>
      <w:r w:rsidRPr="009E1F0B">
        <w:t>Meta-analysis of Perceived Workplace Gender Discrimination on Individual Outcomes</w:t>
      </w:r>
    </w:p>
    <w:tbl>
      <w:tblPr>
        <w:tblW w:w="126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19"/>
        <w:gridCol w:w="791"/>
        <w:gridCol w:w="615"/>
        <w:gridCol w:w="528"/>
        <w:gridCol w:w="615"/>
        <w:gridCol w:w="528"/>
        <w:gridCol w:w="615"/>
        <w:gridCol w:w="615"/>
        <w:gridCol w:w="615"/>
        <w:gridCol w:w="1759"/>
        <w:gridCol w:w="1440"/>
        <w:gridCol w:w="1350"/>
      </w:tblGrid>
      <w:tr w:rsidR="0051131F" w:rsidRPr="009E1F0B" w14:paraId="6154BCE2" w14:textId="77777777" w:rsidTr="0051131F">
        <w:trPr>
          <w:trHeight w:val="514"/>
        </w:trPr>
        <w:tc>
          <w:tcPr>
            <w:tcW w:w="3219" w:type="dxa"/>
            <w:tcBorders>
              <w:bottom w:val="single" w:sz="4" w:space="0" w:color="auto"/>
            </w:tcBorders>
            <w:vAlign w:val="center"/>
          </w:tcPr>
          <w:p w14:paraId="54B97124" w14:textId="77777777" w:rsidR="002827BF" w:rsidRPr="009E1F0B" w:rsidRDefault="002827BF" w:rsidP="008C571D">
            <w:pPr>
              <w:jc w:val="center"/>
            </w:pPr>
            <w:r w:rsidRPr="009E1F0B">
              <w:t>Outcome</w:t>
            </w:r>
          </w:p>
        </w:tc>
        <w:tc>
          <w:tcPr>
            <w:tcW w:w="791" w:type="dxa"/>
            <w:tcBorders>
              <w:bottom w:val="single" w:sz="4" w:space="0" w:color="auto"/>
            </w:tcBorders>
            <w:vAlign w:val="center"/>
          </w:tcPr>
          <w:p w14:paraId="69366684" w14:textId="77777777" w:rsidR="002827BF" w:rsidRPr="009E1F0B" w:rsidRDefault="002827BF" w:rsidP="008C571D">
            <w:pPr>
              <w:jc w:val="center"/>
              <w:rPr>
                <w:i/>
              </w:rPr>
            </w:pPr>
            <w:r w:rsidRPr="009E1F0B">
              <w:rPr>
                <w:i/>
              </w:rPr>
              <w:t>N</w:t>
            </w:r>
          </w:p>
        </w:tc>
        <w:tc>
          <w:tcPr>
            <w:tcW w:w="615" w:type="dxa"/>
            <w:tcBorders>
              <w:bottom w:val="single" w:sz="4" w:space="0" w:color="auto"/>
            </w:tcBorders>
            <w:vAlign w:val="center"/>
          </w:tcPr>
          <w:p w14:paraId="6707BA21" w14:textId="77777777" w:rsidR="002827BF" w:rsidRPr="009E1F0B" w:rsidRDefault="002827BF" w:rsidP="008C571D">
            <w:pPr>
              <w:jc w:val="center"/>
              <w:rPr>
                <w:i/>
              </w:rPr>
            </w:pPr>
            <w:r w:rsidRPr="009E1F0B">
              <w:rPr>
                <w:i/>
              </w:rPr>
              <w:t>k</w:t>
            </w:r>
          </w:p>
        </w:tc>
        <w:tc>
          <w:tcPr>
            <w:tcW w:w="528" w:type="dxa"/>
            <w:tcBorders>
              <w:bottom w:val="single" w:sz="4" w:space="0" w:color="auto"/>
            </w:tcBorders>
            <w:vAlign w:val="center"/>
          </w:tcPr>
          <w:p w14:paraId="2E7C7E93" w14:textId="77777777" w:rsidR="002827BF" w:rsidRPr="009E1F0B" w:rsidRDefault="00901446" w:rsidP="008C571D">
            <w:pPr>
              <w:jc w:val="center"/>
            </w:pPr>
            <m:oMathPara>
              <m:oMath>
                <m:acc>
                  <m:accPr>
                    <m:chr m:val="̅"/>
                    <m:ctrlPr>
                      <w:rPr>
                        <w:rFonts w:ascii="Cambria Math" w:hAnsi="Cambria Math"/>
                        <w:i/>
                      </w:rPr>
                    </m:ctrlPr>
                  </m:accPr>
                  <m:e>
                    <m:r>
                      <w:rPr>
                        <w:rFonts w:ascii="Cambria Math" w:hAnsi="Cambria Math"/>
                      </w:rPr>
                      <m:t>r</m:t>
                    </m:r>
                  </m:e>
                </m:acc>
              </m:oMath>
            </m:oMathPara>
          </w:p>
        </w:tc>
        <w:tc>
          <w:tcPr>
            <w:tcW w:w="615" w:type="dxa"/>
            <w:tcBorders>
              <w:bottom w:val="single" w:sz="4" w:space="0" w:color="auto"/>
            </w:tcBorders>
            <w:vAlign w:val="center"/>
          </w:tcPr>
          <w:p w14:paraId="7910872B" w14:textId="77777777" w:rsidR="002827BF" w:rsidRPr="009E1F0B" w:rsidRDefault="00901446" w:rsidP="008C571D">
            <w:pPr>
              <w:jc w:val="center"/>
              <w:rPr>
                <w:rFonts w:ascii="Calibri" w:eastAsia="Calibri" w:hAnsi="Calibri"/>
              </w:rPr>
            </w:pPr>
            <m:oMathPara>
              <m:oMath>
                <m:acc>
                  <m:accPr>
                    <m:ctrlPr>
                      <w:rPr>
                        <w:rFonts w:ascii="Cambria Math" w:hAnsi="Cambria Math"/>
                        <w:i/>
                      </w:rPr>
                    </m:ctrlPr>
                  </m:accPr>
                  <m:e>
                    <m:r>
                      <w:rPr>
                        <w:rFonts w:ascii="Cambria Math" w:hAnsi="Cambria Math"/>
                      </w:rPr>
                      <m:t>ρ</m:t>
                    </m:r>
                  </m:e>
                </m:acc>
              </m:oMath>
            </m:oMathPara>
          </w:p>
        </w:tc>
        <w:tc>
          <w:tcPr>
            <w:tcW w:w="528" w:type="dxa"/>
            <w:tcBorders>
              <w:bottom w:val="single" w:sz="4" w:space="0" w:color="auto"/>
            </w:tcBorders>
            <w:vAlign w:val="center"/>
          </w:tcPr>
          <w:p w14:paraId="0A1E7E8D" w14:textId="77777777" w:rsidR="002827BF" w:rsidRPr="009E1F0B" w:rsidRDefault="00901446" w:rsidP="008C571D">
            <w:pPr>
              <w:jc w:val="center"/>
            </w:pPr>
            <m:oMathPara>
              <m:oMath>
                <m:sSup>
                  <m:sSupPr>
                    <m:ctrlPr>
                      <w:rPr>
                        <w:rFonts w:ascii="Cambria Math" w:eastAsia="SimHei" w:hAnsi="Cambria Math"/>
                        <w:i/>
                      </w:rPr>
                    </m:ctrlPr>
                  </m:sSupPr>
                  <m:e>
                    <m:sSub>
                      <m:sSubPr>
                        <m:ctrlPr>
                          <w:rPr>
                            <w:rFonts w:ascii="Cambria Math" w:eastAsia="SimHei" w:hAnsi="Cambria Math"/>
                            <w:i/>
                          </w:rPr>
                        </m:ctrlPr>
                      </m:sSubPr>
                      <m:e>
                        <m:r>
                          <w:rPr>
                            <w:rFonts w:ascii="Cambria Math" w:eastAsia="SimHei" w:hAnsi="Cambria Math"/>
                          </w:rPr>
                          <m:t>σ</m:t>
                        </m:r>
                      </m:e>
                      <m:sub>
                        <m:r>
                          <w:rPr>
                            <w:rFonts w:ascii="Cambria Math" w:eastAsia="SimHei" w:hAnsi="Cambria Math"/>
                          </w:rPr>
                          <m:t>r</m:t>
                        </m:r>
                      </m:sub>
                    </m:sSub>
                  </m:e>
                  <m:sup>
                    <m:r>
                      <w:rPr>
                        <w:rFonts w:ascii="Cambria Math" w:eastAsia="SimHei" w:hAnsi="Cambria Math"/>
                      </w:rPr>
                      <m:t>2</m:t>
                    </m:r>
                  </m:sup>
                </m:sSup>
              </m:oMath>
            </m:oMathPara>
          </w:p>
        </w:tc>
        <w:tc>
          <w:tcPr>
            <w:tcW w:w="615" w:type="dxa"/>
            <w:tcBorders>
              <w:bottom w:val="single" w:sz="4" w:space="0" w:color="auto"/>
            </w:tcBorders>
            <w:vAlign w:val="center"/>
          </w:tcPr>
          <w:p w14:paraId="4EE99980" w14:textId="77777777" w:rsidR="002827BF" w:rsidRPr="009E1F0B" w:rsidRDefault="00901446" w:rsidP="008C571D">
            <w:pPr>
              <w:jc w:val="center"/>
            </w:pPr>
            <m:oMathPara>
              <m:oMath>
                <m:sSup>
                  <m:sSupPr>
                    <m:ctrlPr>
                      <w:rPr>
                        <w:rFonts w:ascii="Cambria Math" w:eastAsia="SimHei" w:hAnsi="Cambria Math"/>
                        <w:i/>
                      </w:rPr>
                    </m:ctrlPr>
                  </m:sSupPr>
                  <m:e>
                    <m:sSub>
                      <m:sSubPr>
                        <m:ctrlPr>
                          <w:rPr>
                            <w:rFonts w:ascii="Cambria Math" w:eastAsia="SimHei" w:hAnsi="Cambria Math"/>
                            <w:i/>
                          </w:rPr>
                        </m:ctrlPr>
                      </m:sSubPr>
                      <m:e>
                        <m:r>
                          <w:rPr>
                            <w:rFonts w:ascii="Cambria Math" w:eastAsia="SimHei" w:hAnsi="Cambria Math"/>
                          </w:rPr>
                          <m:t>σ</m:t>
                        </m:r>
                      </m:e>
                      <m:sub>
                        <m:r>
                          <w:rPr>
                            <w:rFonts w:ascii="Cambria Math" w:eastAsia="SimHei" w:hAnsi="Cambria Math"/>
                          </w:rPr>
                          <m:t>e</m:t>
                        </m:r>
                      </m:sub>
                    </m:sSub>
                  </m:e>
                  <m:sup>
                    <m:r>
                      <w:rPr>
                        <w:rFonts w:ascii="Cambria Math" w:eastAsia="SimHei" w:hAnsi="Cambria Math"/>
                      </w:rPr>
                      <m:t>2</m:t>
                    </m:r>
                  </m:sup>
                </m:sSup>
              </m:oMath>
            </m:oMathPara>
          </w:p>
        </w:tc>
        <w:tc>
          <w:tcPr>
            <w:tcW w:w="615" w:type="dxa"/>
            <w:tcBorders>
              <w:bottom w:val="single" w:sz="4" w:space="0" w:color="auto"/>
            </w:tcBorders>
            <w:vAlign w:val="center"/>
          </w:tcPr>
          <w:p w14:paraId="72B298C4" w14:textId="77777777" w:rsidR="002827BF" w:rsidRPr="009E1F0B" w:rsidRDefault="00D8145F" w:rsidP="00D8145F">
            <w:pPr>
              <w:jc w:val="center"/>
            </w:pPr>
            <w:r w:rsidRPr="004903E8">
              <w:rPr>
                <w:i/>
              </w:rPr>
              <w:t>SD</w:t>
            </w:r>
            <w:r>
              <w:rPr>
                <w:i/>
              </w:rPr>
              <w:t xml:space="preserve"> </w:t>
            </w:r>
            <m:oMath>
              <m:acc>
                <m:accPr>
                  <m:chr m:val="̅"/>
                  <m:ctrlPr>
                    <w:rPr>
                      <w:rFonts w:ascii="Cambria Math" w:hAnsi="Cambria Math"/>
                      <w:i/>
                    </w:rPr>
                  </m:ctrlPr>
                </m:accPr>
                <m:e>
                  <m:r>
                    <w:rPr>
                      <w:rFonts w:ascii="Cambria Math" w:hAnsi="Cambria Math"/>
                    </w:rPr>
                    <m:t>r</m:t>
                  </m:r>
                </m:e>
              </m:acc>
            </m:oMath>
          </w:p>
        </w:tc>
        <w:tc>
          <w:tcPr>
            <w:tcW w:w="615" w:type="dxa"/>
            <w:tcBorders>
              <w:bottom w:val="single" w:sz="4" w:space="0" w:color="auto"/>
            </w:tcBorders>
            <w:vAlign w:val="center"/>
          </w:tcPr>
          <w:p w14:paraId="489B8C2A" w14:textId="77777777" w:rsidR="00EC6BDB" w:rsidRDefault="00EC6BDB" w:rsidP="008C571D">
            <w:pPr>
              <w:jc w:val="center"/>
              <w:rPr>
                <w:i/>
              </w:rPr>
            </w:pPr>
          </w:p>
          <w:p w14:paraId="125D15EE" w14:textId="77777777" w:rsidR="00D8145F" w:rsidRDefault="00D8145F" w:rsidP="00D8145F">
            <w:pPr>
              <w:jc w:val="center"/>
            </w:pPr>
            <w:r w:rsidRPr="004903E8">
              <w:rPr>
                <w:i/>
              </w:rPr>
              <w:t>SD</w:t>
            </w:r>
            <m:oMath>
              <m:r>
                <w:rPr>
                  <w:rFonts w:ascii="Cambria Math" w:hAnsi="Cambria Math"/>
                </w:rPr>
                <m:t xml:space="preserve"> </m:t>
              </m:r>
              <m:acc>
                <m:accPr>
                  <m:ctrlPr>
                    <w:rPr>
                      <w:rFonts w:ascii="Cambria Math" w:hAnsi="Cambria Math"/>
                      <w:i/>
                    </w:rPr>
                  </m:ctrlPr>
                </m:accPr>
                <m:e>
                  <m:r>
                    <w:rPr>
                      <w:rFonts w:ascii="Cambria Math" w:hAnsi="Cambria Math"/>
                    </w:rPr>
                    <m:t>ρ</m:t>
                  </m:r>
                </m:e>
              </m:acc>
            </m:oMath>
          </w:p>
          <w:p w14:paraId="181F09CE" w14:textId="77777777" w:rsidR="002827BF" w:rsidRPr="004903E8" w:rsidRDefault="002827BF" w:rsidP="00EC6BDB">
            <w:pPr>
              <w:jc w:val="center"/>
              <w:rPr>
                <w:i/>
              </w:rPr>
            </w:pPr>
          </w:p>
        </w:tc>
        <w:tc>
          <w:tcPr>
            <w:tcW w:w="1759" w:type="dxa"/>
            <w:tcBorders>
              <w:bottom w:val="single" w:sz="4" w:space="0" w:color="auto"/>
            </w:tcBorders>
            <w:vAlign w:val="center"/>
          </w:tcPr>
          <w:p w14:paraId="79C7DC1B" w14:textId="77777777" w:rsidR="002827BF" w:rsidRPr="009E1F0B" w:rsidRDefault="002827BF" w:rsidP="008C571D">
            <w:pPr>
              <w:jc w:val="center"/>
            </w:pPr>
            <w:r w:rsidRPr="009E1F0B">
              <w:t>χ</w:t>
            </w:r>
            <w:r w:rsidRPr="009E1F0B">
              <w:rPr>
                <w:vertAlign w:val="superscript"/>
              </w:rPr>
              <w:t>2</w:t>
            </w:r>
            <w:r w:rsidRPr="009E1F0B">
              <w:t xml:space="preserve"> test</w:t>
            </w:r>
          </w:p>
        </w:tc>
        <w:tc>
          <w:tcPr>
            <w:tcW w:w="1440" w:type="dxa"/>
            <w:tcBorders>
              <w:bottom w:val="single" w:sz="4" w:space="0" w:color="auto"/>
            </w:tcBorders>
            <w:vAlign w:val="center"/>
          </w:tcPr>
          <w:p w14:paraId="0353E176" w14:textId="77777777" w:rsidR="002827BF" w:rsidRPr="009E1F0B" w:rsidRDefault="002827BF" w:rsidP="008C571D">
            <w:pPr>
              <w:jc w:val="center"/>
            </w:pPr>
            <w:r w:rsidRPr="009E1F0B">
              <w:t>80% credibility interval</w:t>
            </w:r>
          </w:p>
        </w:tc>
        <w:tc>
          <w:tcPr>
            <w:tcW w:w="1350" w:type="dxa"/>
            <w:tcBorders>
              <w:bottom w:val="single" w:sz="4" w:space="0" w:color="auto"/>
            </w:tcBorders>
            <w:vAlign w:val="center"/>
          </w:tcPr>
          <w:p w14:paraId="43FD23D7" w14:textId="77777777" w:rsidR="002827BF" w:rsidRPr="009E1F0B" w:rsidRDefault="002827BF" w:rsidP="008C571D">
            <w:pPr>
              <w:jc w:val="center"/>
            </w:pPr>
            <w:r w:rsidRPr="009E1F0B">
              <w:t>95% confidence interval</w:t>
            </w:r>
          </w:p>
        </w:tc>
      </w:tr>
      <w:tr w:rsidR="0051131F" w:rsidRPr="009E1F0B" w14:paraId="36C77747" w14:textId="77777777" w:rsidTr="0051131F">
        <w:trPr>
          <w:trHeight w:val="245"/>
        </w:trPr>
        <w:tc>
          <w:tcPr>
            <w:tcW w:w="3219" w:type="dxa"/>
            <w:tcBorders>
              <w:top w:val="single" w:sz="4" w:space="0" w:color="auto"/>
              <w:left w:val="nil"/>
              <w:bottom w:val="nil"/>
              <w:right w:val="nil"/>
            </w:tcBorders>
            <w:vAlign w:val="center"/>
          </w:tcPr>
          <w:p w14:paraId="0ADF096A" w14:textId="77777777" w:rsidR="002827BF" w:rsidRPr="00661861" w:rsidRDefault="002827BF" w:rsidP="008C571D">
            <w:r w:rsidRPr="00661861">
              <w:t>Job Attitudes</w:t>
            </w:r>
          </w:p>
        </w:tc>
        <w:tc>
          <w:tcPr>
            <w:tcW w:w="791" w:type="dxa"/>
            <w:tcBorders>
              <w:top w:val="single" w:sz="4" w:space="0" w:color="auto"/>
              <w:left w:val="nil"/>
              <w:bottom w:val="nil"/>
              <w:right w:val="nil"/>
            </w:tcBorders>
            <w:vAlign w:val="center"/>
          </w:tcPr>
          <w:p w14:paraId="2978DCC9" w14:textId="77777777" w:rsidR="002827BF" w:rsidRPr="00661861" w:rsidRDefault="002827BF" w:rsidP="00661861">
            <w:pPr>
              <w:jc w:val="center"/>
            </w:pPr>
            <w:r w:rsidRPr="00661861">
              <w:t>34,728</w:t>
            </w:r>
          </w:p>
        </w:tc>
        <w:tc>
          <w:tcPr>
            <w:tcW w:w="615" w:type="dxa"/>
            <w:tcBorders>
              <w:top w:val="single" w:sz="4" w:space="0" w:color="auto"/>
              <w:left w:val="nil"/>
              <w:bottom w:val="nil"/>
              <w:right w:val="nil"/>
            </w:tcBorders>
            <w:vAlign w:val="center"/>
          </w:tcPr>
          <w:p w14:paraId="1CBAC41E" w14:textId="77777777" w:rsidR="002827BF" w:rsidRPr="00661861" w:rsidRDefault="002827BF" w:rsidP="00661861">
            <w:pPr>
              <w:jc w:val="center"/>
            </w:pPr>
            <w:r w:rsidRPr="00661861">
              <w:t>39</w:t>
            </w:r>
          </w:p>
        </w:tc>
        <w:tc>
          <w:tcPr>
            <w:tcW w:w="528" w:type="dxa"/>
            <w:tcBorders>
              <w:top w:val="single" w:sz="4" w:space="0" w:color="auto"/>
              <w:left w:val="nil"/>
              <w:bottom w:val="nil"/>
              <w:right w:val="nil"/>
            </w:tcBorders>
            <w:vAlign w:val="center"/>
          </w:tcPr>
          <w:p w14:paraId="4402761C" w14:textId="77777777" w:rsidR="002827BF" w:rsidRPr="00661861" w:rsidRDefault="002827BF" w:rsidP="008C571D">
            <w:pPr>
              <w:jc w:val="center"/>
            </w:pPr>
            <w:r w:rsidRPr="00661861">
              <w:t>-.23</w:t>
            </w:r>
          </w:p>
        </w:tc>
        <w:tc>
          <w:tcPr>
            <w:tcW w:w="615" w:type="dxa"/>
            <w:tcBorders>
              <w:top w:val="single" w:sz="4" w:space="0" w:color="auto"/>
              <w:left w:val="nil"/>
              <w:bottom w:val="nil"/>
              <w:right w:val="nil"/>
            </w:tcBorders>
            <w:vAlign w:val="center"/>
          </w:tcPr>
          <w:p w14:paraId="2D79E764" w14:textId="77777777" w:rsidR="002827BF" w:rsidRPr="00661861" w:rsidRDefault="002827BF" w:rsidP="008C571D">
            <w:pPr>
              <w:jc w:val="center"/>
            </w:pPr>
            <w:r w:rsidRPr="00661861">
              <w:t>-.28</w:t>
            </w:r>
          </w:p>
        </w:tc>
        <w:tc>
          <w:tcPr>
            <w:tcW w:w="528" w:type="dxa"/>
            <w:tcBorders>
              <w:top w:val="single" w:sz="4" w:space="0" w:color="auto"/>
              <w:left w:val="nil"/>
              <w:bottom w:val="nil"/>
              <w:right w:val="nil"/>
            </w:tcBorders>
            <w:vAlign w:val="center"/>
          </w:tcPr>
          <w:p w14:paraId="38AEAB4A" w14:textId="77777777" w:rsidR="002827BF" w:rsidRPr="00661861" w:rsidRDefault="002827BF" w:rsidP="008C571D">
            <w:pPr>
              <w:jc w:val="center"/>
            </w:pPr>
            <w:r w:rsidRPr="00661861">
              <w:t>.022</w:t>
            </w:r>
          </w:p>
        </w:tc>
        <w:tc>
          <w:tcPr>
            <w:tcW w:w="615" w:type="dxa"/>
            <w:tcBorders>
              <w:top w:val="single" w:sz="4" w:space="0" w:color="auto"/>
              <w:left w:val="nil"/>
              <w:bottom w:val="nil"/>
              <w:right w:val="nil"/>
            </w:tcBorders>
            <w:vAlign w:val="center"/>
          </w:tcPr>
          <w:p w14:paraId="1FEE060F" w14:textId="77777777" w:rsidR="002827BF" w:rsidRPr="00661861" w:rsidRDefault="002827BF" w:rsidP="008C571D">
            <w:pPr>
              <w:jc w:val="center"/>
            </w:pPr>
            <w:r w:rsidRPr="00661861">
              <w:t>.001</w:t>
            </w:r>
          </w:p>
        </w:tc>
        <w:tc>
          <w:tcPr>
            <w:tcW w:w="615" w:type="dxa"/>
            <w:tcBorders>
              <w:top w:val="single" w:sz="4" w:space="0" w:color="auto"/>
              <w:left w:val="nil"/>
              <w:bottom w:val="nil"/>
              <w:right w:val="nil"/>
            </w:tcBorders>
            <w:vAlign w:val="center"/>
          </w:tcPr>
          <w:p w14:paraId="096B2E91" w14:textId="77777777" w:rsidR="002827BF" w:rsidRPr="00661861" w:rsidRDefault="00D8145F" w:rsidP="00B72F64">
            <w:pPr>
              <w:jc w:val="center"/>
            </w:pPr>
            <w:r>
              <w:t>.148</w:t>
            </w:r>
          </w:p>
        </w:tc>
        <w:tc>
          <w:tcPr>
            <w:tcW w:w="615" w:type="dxa"/>
            <w:tcBorders>
              <w:top w:val="single" w:sz="4" w:space="0" w:color="auto"/>
              <w:left w:val="nil"/>
              <w:bottom w:val="nil"/>
              <w:right w:val="nil"/>
            </w:tcBorders>
            <w:vAlign w:val="center"/>
          </w:tcPr>
          <w:p w14:paraId="6FE61E3B" w14:textId="77777777" w:rsidR="002827BF" w:rsidRPr="00661861" w:rsidRDefault="00D8145F" w:rsidP="00B72F64">
            <w:pPr>
              <w:jc w:val="center"/>
            </w:pPr>
            <w:r>
              <w:t>.171</w:t>
            </w:r>
          </w:p>
        </w:tc>
        <w:tc>
          <w:tcPr>
            <w:tcW w:w="1759" w:type="dxa"/>
            <w:tcBorders>
              <w:top w:val="single" w:sz="4" w:space="0" w:color="auto"/>
              <w:left w:val="nil"/>
              <w:bottom w:val="nil"/>
              <w:right w:val="nil"/>
            </w:tcBorders>
            <w:vAlign w:val="center"/>
          </w:tcPr>
          <w:p w14:paraId="6A22A80E" w14:textId="77777777" w:rsidR="002827BF" w:rsidRPr="00661861" w:rsidRDefault="002827BF" w:rsidP="00DF18D0">
            <w:pPr>
              <w:jc w:val="center"/>
            </w:pPr>
            <w:r w:rsidRPr="00661861">
              <w:t>726.08</w:t>
            </w:r>
            <w:r w:rsidR="00DF18D0">
              <w:t xml:space="preserve">, </w:t>
            </w:r>
            <w:r w:rsidR="00DF18D0" w:rsidRPr="00DF18D0">
              <w:rPr>
                <w:i/>
              </w:rPr>
              <w:t>p</w:t>
            </w:r>
            <w:r w:rsidR="00DF18D0">
              <w:t xml:space="preserve"> = .000</w:t>
            </w:r>
          </w:p>
        </w:tc>
        <w:tc>
          <w:tcPr>
            <w:tcW w:w="1440" w:type="dxa"/>
            <w:tcBorders>
              <w:top w:val="single" w:sz="4" w:space="0" w:color="auto"/>
              <w:left w:val="nil"/>
              <w:bottom w:val="nil"/>
              <w:right w:val="nil"/>
            </w:tcBorders>
            <w:vAlign w:val="center"/>
          </w:tcPr>
          <w:p w14:paraId="4E960D35" w14:textId="77777777" w:rsidR="002827BF" w:rsidRPr="00661861" w:rsidRDefault="002827BF" w:rsidP="008C571D">
            <w:pPr>
              <w:jc w:val="center"/>
            </w:pPr>
            <w:r w:rsidRPr="00661861">
              <w:t>-.50 : -.06</w:t>
            </w:r>
          </w:p>
        </w:tc>
        <w:tc>
          <w:tcPr>
            <w:tcW w:w="1350" w:type="dxa"/>
            <w:tcBorders>
              <w:top w:val="single" w:sz="4" w:space="0" w:color="auto"/>
              <w:left w:val="nil"/>
              <w:bottom w:val="nil"/>
              <w:right w:val="nil"/>
            </w:tcBorders>
            <w:vAlign w:val="center"/>
          </w:tcPr>
          <w:p w14:paraId="6D858836" w14:textId="77777777" w:rsidR="002827BF" w:rsidRPr="00661861" w:rsidRDefault="002827BF" w:rsidP="008C571D">
            <w:pPr>
              <w:jc w:val="center"/>
            </w:pPr>
            <w:r w:rsidRPr="00661861">
              <w:t>-.24 : -.22</w:t>
            </w:r>
          </w:p>
        </w:tc>
      </w:tr>
      <w:tr w:rsidR="0051131F" w:rsidRPr="009E1F0B" w14:paraId="046F46F4" w14:textId="77777777" w:rsidTr="0051131F">
        <w:trPr>
          <w:trHeight w:val="245"/>
        </w:trPr>
        <w:tc>
          <w:tcPr>
            <w:tcW w:w="3219" w:type="dxa"/>
            <w:tcBorders>
              <w:top w:val="nil"/>
              <w:left w:val="nil"/>
              <w:bottom w:val="nil"/>
              <w:right w:val="nil"/>
            </w:tcBorders>
            <w:vAlign w:val="center"/>
          </w:tcPr>
          <w:p w14:paraId="1D37BBC8" w14:textId="77777777" w:rsidR="002827BF" w:rsidRPr="009E1F0B" w:rsidRDefault="002827BF" w:rsidP="008C571D">
            <w:r w:rsidRPr="009E1F0B">
              <w:t xml:space="preserve">Physical Health Outcomes and </w:t>
            </w:r>
          </w:p>
          <w:p w14:paraId="7E2BAB17" w14:textId="77777777" w:rsidR="002827BF" w:rsidRPr="009E1F0B" w:rsidRDefault="002827BF" w:rsidP="008C571D">
            <w:r w:rsidRPr="009E1F0B">
              <w:t xml:space="preserve">   Behaviors</w:t>
            </w:r>
          </w:p>
        </w:tc>
        <w:tc>
          <w:tcPr>
            <w:tcW w:w="791" w:type="dxa"/>
            <w:tcBorders>
              <w:top w:val="nil"/>
              <w:left w:val="nil"/>
              <w:bottom w:val="nil"/>
              <w:right w:val="nil"/>
            </w:tcBorders>
            <w:vAlign w:val="center"/>
          </w:tcPr>
          <w:p w14:paraId="6C4F7D7A" w14:textId="77777777" w:rsidR="002827BF" w:rsidRPr="009E1F0B" w:rsidRDefault="002827BF" w:rsidP="008C571D">
            <w:pPr>
              <w:jc w:val="center"/>
            </w:pPr>
            <w:r w:rsidRPr="009E1F0B">
              <w:t>15,225</w:t>
            </w:r>
          </w:p>
        </w:tc>
        <w:tc>
          <w:tcPr>
            <w:tcW w:w="615" w:type="dxa"/>
            <w:tcBorders>
              <w:top w:val="nil"/>
              <w:left w:val="nil"/>
              <w:bottom w:val="nil"/>
              <w:right w:val="nil"/>
            </w:tcBorders>
            <w:vAlign w:val="center"/>
          </w:tcPr>
          <w:p w14:paraId="408D8F5B" w14:textId="77777777" w:rsidR="002827BF" w:rsidRPr="009E1F0B" w:rsidRDefault="002827BF" w:rsidP="008C571D">
            <w:pPr>
              <w:jc w:val="center"/>
            </w:pPr>
            <w:r w:rsidRPr="009E1F0B">
              <w:t>11</w:t>
            </w:r>
          </w:p>
        </w:tc>
        <w:tc>
          <w:tcPr>
            <w:tcW w:w="528" w:type="dxa"/>
            <w:tcBorders>
              <w:top w:val="nil"/>
              <w:left w:val="nil"/>
              <w:bottom w:val="nil"/>
              <w:right w:val="nil"/>
            </w:tcBorders>
            <w:vAlign w:val="center"/>
          </w:tcPr>
          <w:p w14:paraId="11C16E67" w14:textId="4A723182" w:rsidR="002827BF" w:rsidRPr="009E1F0B" w:rsidRDefault="002827BF" w:rsidP="005F1F17">
            <w:pPr>
              <w:jc w:val="center"/>
            </w:pPr>
            <w:r w:rsidRPr="009E1F0B">
              <w:t>-.1</w:t>
            </w:r>
            <w:r w:rsidR="005F1F17">
              <w:t>6</w:t>
            </w:r>
          </w:p>
        </w:tc>
        <w:tc>
          <w:tcPr>
            <w:tcW w:w="615" w:type="dxa"/>
            <w:tcBorders>
              <w:top w:val="nil"/>
              <w:left w:val="nil"/>
              <w:bottom w:val="nil"/>
              <w:right w:val="nil"/>
            </w:tcBorders>
            <w:vAlign w:val="center"/>
          </w:tcPr>
          <w:p w14:paraId="44B51ED0" w14:textId="0AD30C8E" w:rsidR="002827BF" w:rsidRPr="009E1F0B" w:rsidRDefault="002827BF" w:rsidP="005F1F17">
            <w:pPr>
              <w:jc w:val="center"/>
            </w:pPr>
            <w:r w:rsidRPr="009E1F0B">
              <w:t>-.1</w:t>
            </w:r>
            <w:r w:rsidR="005F1F17">
              <w:t>9</w:t>
            </w:r>
          </w:p>
        </w:tc>
        <w:tc>
          <w:tcPr>
            <w:tcW w:w="528" w:type="dxa"/>
            <w:tcBorders>
              <w:top w:val="nil"/>
              <w:left w:val="nil"/>
              <w:bottom w:val="nil"/>
              <w:right w:val="nil"/>
            </w:tcBorders>
            <w:vAlign w:val="center"/>
          </w:tcPr>
          <w:p w14:paraId="736BF0A5" w14:textId="77777777" w:rsidR="002827BF" w:rsidRPr="009E1F0B" w:rsidRDefault="002827BF" w:rsidP="006D7598">
            <w:pPr>
              <w:jc w:val="center"/>
            </w:pPr>
            <w:r w:rsidRPr="009E1F0B">
              <w:t>.00</w:t>
            </w:r>
            <w:r w:rsidR="006D7598">
              <w:t>4</w:t>
            </w:r>
          </w:p>
        </w:tc>
        <w:tc>
          <w:tcPr>
            <w:tcW w:w="615" w:type="dxa"/>
            <w:tcBorders>
              <w:top w:val="nil"/>
              <w:left w:val="nil"/>
              <w:bottom w:val="nil"/>
              <w:right w:val="nil"/>
            </w:tcBorders>
            <w:vAlign w:val="center"/>
          </w:tcPr>
          <w:p w14:paraId="0EFBD70A" w14:textId="77777777" w:rsidR="002827BF" w:rsidRPr="009E1F0B" w:rsidRDefault="002827BF" w:rsidP="008C571D">
            <w:pPr>
              <w:jc w:val="center"/>
            </w:pPr>
            <w:r w:rsidRPr="009E1F0B">
              <w:t>.001</w:t>
            </w:r>
          </w:p>
        </w:tc>
        <w:tc>
          <w:tcPr>
            <w:tcW w:w="615" w:type="dxa"/>
            <w:tcBorders>
              <w:top w:val="nil"/>
              <w:left w:val="nil"/>
              <w:bottom w:val="nil"/>
              <w:right w:val="nil"/>
            </w:tcBorders>
            <w:vAlign w:val="center"/>
          </w:tcPr>
          <w:p w14:paraId="6E756017" w14:textId="77777777" w:rsidR="002827BF" w:rsidRDefault="002827BF" w:rsidP="00B72F64">
            <w:pPr>
              <w:jc w:val="center"/>
            </w:pPr>
          </w:p>
          <w:p w14:paraId="27F43ACF" w14:textId="77777777" w:rsidR="00D8145F" w:rsidRDefault="00D8145F" w:rsidP="00B72F64">
            <w:pPr>
              <w:jc w:val="center"/>
            </w:pPr>
            <w:r>
              <w:t>.061</w:t>
            </w:r>
          </w:p>
          <w:p w14:paraId="5F80D2C4" w14:textId="77777777" w:rsidR="00D8145F" w:rsidRPr="009E1F0B" w:rsidRDefault="00D8145F" w:rsidP="00B72F64">
            <w:pPr>
              <w:jc w:val="center"/>
            </w:pPr>
          </w:p>
        </w:tc>
        <w:tc>
          <w:tcPr>
            <w:tcW w:w="615" w:type="dxa"/>
            <w:tcBorders>
              <w:top w:val="nil"/>
              <w:left w:val="nil"/>
              <w:bottom w:val="nil"/>
              <w:right w:val="nil"/>
            </w:tcBorders>
            <w:vAlign w:val="center"/>
          </w:tcPr>
          <w:p w14:paraId="6C22928D" w14:textId="77777777" w:rsidR="00D8145F" w:rsidRPr="009E1F0B" w:rsidRDefault="00D8145F" w:rsidP="00B72F64">
            <w:pPr>
              <w:jc w:val="center"/>
            </w:pPr>
            <w:r>
              <w:t>.064</w:t>
            </w:r>
          </w:p>
        </w:tc>
        <w:tc>
          <w:tcPr>
            <w:tcW w:w="1759" w:type="dxa"/>
            <w:tcBorders>
              <w:top w:val="nil"/>
              <w:left w:val="nil"/>
              <w:bottom w:val="nil"/>
              <w:right w:val="nil"/>
            </w:tcBorders>
            <w:vAlign w:val="center"/>
          </w:tcPr>
          <w:p w14:paraId="055D13E7" w14:textId="21E6FD93" w:rsidR="002827BF" w:rsidRPr="009E1F0B" w:rsidRDefault="005F1F17" w:rsidP="00DF18D0">
            <w:pPr>
              <w:jc w:val="center"/>
            </w:pPr>
            <w:r>
              <w:t>52.39</w:t>
            </w:r>
            <w:r w:rsidR="00DF18D0">
              <w:t>,</w:t>
            </w:r>
            <w:r w:rsidR="00DF18D0" w:rsidRPr="00DF18D0">
              <w:rPr>
                <w:i/>
              </w:rPr>
              <w:t xml:space="preserve"> p</w:t>
            </w:r>
            <w:r w:rsidR="00DF18D0">
              <w:t xml:space="preserve"> = .000</w:t>
            </w:r>
          </w:p>
        </w:tc>
        <w:tc>
          <w:tcPr>
            <w:tcW w:w="1440" w:type="dxa"/>
            <w:tcBorders>
              <w:top w:val="nil"/>
              <w:left w:val="nil"/>
              <w:bottom w:val="nil"/>
              <w:right w:val="nil"/>
            </w:tcBorders>
            <w:vAlign w:val="center"/>
          </w:tcPr>
          <w:p w14:paraId="5ED12EF4" w14:textId="242D0506" w:rsidR="002827BF" w:rsidRPr="009E1F0B" w:rsidRDefault="002827BF" w:rsidP="005F1F17">
            <w:pPr>
              <w:jc w:val="center"/>
            </w:pPr>
            <w:r w:rsidRPr="009E1F0B">
              <w:t>-.2</w:t>
            </w:r>
            <w:r w:rsidR="005F1F17">
              <w:t>7</w:t>
            </w:r>
            <w:r w:rsidRPr="009E1F0B">
              <w:t xml:space="preserve"> : -.11</w:t>
            </w:r>
          </w:p>
        </w:tc>
        <w:tc>
          <w:tcPr>
            <w:tcW w:w="1350" w:type="dxa"/>
            <w:tcBorders>
              <w:top w:val="nil"/>
              <w:left w:val="nil"/>
              <w:bottom w:val="nil"/>
              <w:right w:val="nil"/>
            </w:tcBorders>
            <w:vAlign w:val="center"/>
          </w:tcPr>
          <w:p w14:paraId="1A031CA9" w14:textId="77777777" w:rsidR="002827BF" w:rsidRPr="009E1F0B" w:rsidRDefault="002827BF" w:rsidP="008C571D">
            <w:pPr>
              <w:jc w:val="center"/>
            </w:pPr>
            <w:r w:rsidRPr="009E1F0B">
              <w:t>-.17 : -.14</w:t>
            </w:r>
          </w:p>
        </w:tc>
      </w:tr>
      <w:tr w:rsidR="0051131F" w:rsidRPr="009E1F0B" w14:paraId="36490D70" w14:textId="77777777" w:rsidTr="0051131F">
        <w:trPr>
          <w:trHeight w:val="245"/>
        </w:trPr>
        <w:tc>
          <w:tcPr>
            <w:tcW w:w="3219" w:type="dxa"/>
            <w:tcBorders>
              <w:top w:val="nil"/>
              <w:left w:val="nil"/>
              <w:bottom w:val="nil"/>
              <w:right w:val="nil"/>
            </w:tcBorders>
            <w:vAlign w:val="center"/>
          </w:tcPr>
          <w:p w14:paraId="3C01C406" w14:textId="77777777" w:rsidR="00B72F64" w:rsidRPr="009E1F0B" w:rsidRDefault="00B72F64" w:rsidP="00784049">
            <w:r w:rsidRPr="009E1F0B">
              <w:t>Psychological Health</w:t>
            </w:r>
          </w:p>
        </w:tc>
        <w:tc>
          <w:tcPr>
            <w:tcW w:w="791" w:type="dxa"/>
            <w:tcBorders>
              <w:top w:val="nil"/>
              <w:left w:val="nil"/>
              <w:bottom w:val="nil"/>
              <w:right w:val="nil"/>
            </w:tcBorders>
            <w:vAlign w:val="center"/>
          </w:tcPr>
          <w:p w14:paraId="2AC9FBAA" w14:textId="77777777" w:rsidR="00B72F64" w:rsidRPr="009E1F0B" w:rsidRDefault="00B72F64" w:rsidP="00784049">
            <w:pPr>
              <w:jc w:val="center"/>
            </w:pPr>
            <w:r w:rsidRPr="009E1F0B">
              <w:t>28,121</w:t>
            </w:r>
          </w:p>
        </w:tc>
        <w:tc>
          <w:tcPr>
            <w:tcW w:w="615" w:type="dxa"/>
            <w:tcBorders>
              <w:top w:val="nil"/>
              <w:left w:val="nil"/>
              <w:bottom w:val="nil"/>
              <w:right w:val="nil"/>
            </w:tcBorders>
            <w:vAlign w:val="center"/>
          </w:tcPr>
          <w:p w14:paraId="21C8684D" w14:textId="77777777" w:rsidR="00B72F64" w:rsidRPr="009E1F0B" w:rsidRDefault="00B72F64" w:rsidP="00784049">
            <w:pPr>
              <w:jc w:val="center"/>
            </w:pPr>
            <w:r w:rsidRPr="009E1F0B">
              <w:t>19</w:t>
            </w:r>
          </w:p>
        </w:tc>
        <w:tc>
          <w:tcPr>
            <w:tcW w:w="528" w:type="dxa"/>
            <w:tcBorders>
              <w:top w:val="nil"/>
              <w:left w:val="nil"/>
              <w:bottom w:val="nil"/>
              <w:right w:val="nil"/>
            </w:tcBorders>
            <w:vAlign w:val="center"/>
          </w:tcPr>
          <w:p w14:paraId="205606A6" w14:textId="77777777" w:rsidR="00B72F64" w:rsidRPr="009E1F0B" w:rsidRDefault="00B72F64" w:rsidP="00784049">
            <w:pPr>
              <w:jc w:val="center"/>
            </w:pPr>
            <w:r w:rsidRPr="009E1F0B">
              <w:t>-.16</w:t>
            </w:r>
          </w:p>
        </w:tc>
        <w:tc>
          <w:tcPr>
            <w:tcW w:w="615" w:type="dxa"/>
            <w:tcBorders>
              <w:top w:val="nil"/>
              <w:left w:val="nil"/>
              <w:bottom w:val="nil"/>
              <w:right w:val="nil"/>
            </w:tcBorders>
            <w:vAlign w:val="center"/>
          </w:tcPr>
          <w:p w14:paraId="1F49DC62" w14:textId="77777777" w:rsidR="00B72F64" w:rsidRPr="009E1F0B" w:rsidRDefault="00B72F64" w:rsidP="00784049">
            <w:pPr>
              <w:jc w:val="center"/>
            </w:pPr>
            <w:r w:rsidRPr="009E1F0B">
              <w:t>-.19</w:t>
            </w:r>
          </w:p>
        </w:tc>
        <w:tc>
          <w:tcPr>
            <w:tcW w:w="528" w:type="dxa"/>
            <w:tcBorders>
              <w:top w:val="nil"/>
              <w:left w:val="nil"/>
              <w:bottom w:val="nil"/>
              <w:right w:val="nil"/>
            </w:tcBorders>
            <w:vAlign w:val="center"/>
          </w:tcPr>
          <w:p w14:paraId="6F98596A" w14:textId="77777777" w:rsidR="00B72F64" w:rsidRPr="009E1F0B" w:rsidRDefault="00B72F64" w:rsidP="00784049">
            <w:pPr>
              <w:jc w:val="center"/>
            </w:pPr>
            <w:r w:rsidRPr="009E1F0B">
              <w:t>.011</w:t>
            </w:r>
          </w:p>
        </w:tc>
        <w:tc>
          <w:tcPr>
            <w:tcW w:w="615" w:type="dxa"/>
            <w:tcBorders>
              <w:top w:val="nil"/>
              <w:left w:val="nil"/>
              <w:bottom w:val="nil"/>
              <w:right w:val="nil"/>
            </w:tcBorders>
            <w:vAlign w:val="center"/>
          </w:tcPr>
          <w:p w14:paraId="42AB3217" w14:textId="77777777" w:rsidR="00B72F64" w:rsidRPr="009E1F0B" w:rsidRDefault="00B72F64" w:rsidP="00784049">
            <w:pPr>
              <w:jc w:val="center"/>
            </w:pPr>
            <w:r w:rsidRPr="009E1F0B">
              <w:t>.001</w:t>
            </w:r>
          </w:p>
        </w:tc>
        <w:tc>
          <w:tcPr>
            <w:tcW w:w="615" w:type="dxa"/>
            <w:tcBorders>
              <w:top w:val="nil"/>
              <w:left w:val="nil"/>
              <w:bottom w:val="nil"/>
              <w:right w:val="nil"/>
            </w:tcBorders>
            <w:vAlign w:val="center"/>
          </w:tcPr>
          <w:p w14:paraId="3CAD7C7D" w14:textId="77777777" w:rsidR="00B72F64" w:rsidRPr="009E1F0B" w:rsidRDefault="00B72F64" w:rsidP="00784049">
            <w:pPr>
              <w:jc w:val="center"/>
            </w:pPr>
            <w:r>
              <w:t>.104</w:t>
            </w:r>
          </w:p>
        </w:tc>
        <w:tc>
          <w:tcPr>
            <w:tcW w:w="615" w:type="dxa"/>
            <w:tcBorders>
              <w:top w:val="nil"/>
              <w:left w:val="nil"/>
              <w:bottom w:val="nil"/>
              <w:right w:val="nil"/>
            </w:tcBorders>
            <w:vAlign w:val="center"/>
          </w:tcPr>
          <w:p w14:paraId="668DA2F8" w14:textId="77777777" w:rsidR="00B72F64" w:rsidRPr="009E1F0B" w:rsidRDefault="00B72F64" w:rsidP="00784049">
            <w:pPr>
              <w:jc w:val="center"/>
            </w:pPr>
            <w:r>
              <w:t>.121</w:t>
            </w:r>
          </w:p>
        </w:tc>
        <w:tc>
          <w:tcPr>
            <w:tcW w:w="1759" w:type="dxa"/>
            <w:tcBorders>
              <w:top w:val="nil"/>
              <w:left w:val="nil"/>
              <w:bottom w:val="nil"/>
              <w:right w:val="nil"/>
            </w:tcBorders>
            <w:vAlign w:val="center"/>
          </w:tcPr>
          <w:p w14:paraId="62B202F2" w14:textId="2B4D1CC6" w:rsidR="00B72F64" w:rsidRPr="009E1F0B" w:rsidRDefault="005F1F17" w:rsidP="00784049">
            <w:pPr>
              <w:jc w:val="center"/>
            </w:pPr>
            <w:r>
              <w:t>265.42</w:t>
            </w:r>
            <w:r w:rsidR="00B72F64">
              <w:t xml:space="preserve">, </w:t>
            </w:r>
            <w:r w:rsidR="00B72F64" w:rsidRPr="00DF18D0">
              <w:rPr>
                <w:i/>
              </w:rPr>
              <w:t>p</w:t>
            </w:r>
            <w:r w:rsidR="00B72F64">
              <w:t xml:space="preserve"> = .000</w:t>
            </w:r>
          </w:p>
        </w:tc>
        <w:tc>
          <w:tcPr>
            <w:tcW w:w="1440" w:type="dxa"/>
            <w:tcBorders>
              <w:top w:val="nil"/>
              <w:left w:val="nil"/>
              <w:bottom w:val="nil"/>
              <w:right w:val="nil"/>
            </w:tcBorders>
            <w:vAlign w:val="center"/>
          </w:tcPr>
          <w:p w14:paraId="6227EB9B" w14:textId="77777777" w:rsidR="00B72F64" w:rsidRPr="009E1F0B" w:rsidRDefault="00B72F64" w:rsidP="00784049">
            <w:pPr>
              <w:jc w:val="center"/>
            </w:pPr>
            <w:r w:rsidRPr="009E1F0B">
              <w:t>-.35 : -.04</w:t>
            </w:r>
          </w:p>
        </w:tc>
        <w:tc>
          <w:tcPr>
            <w:tcW w:w="1350" w:type="dxa"/>
            <w:tcBorders>
              <w:top w:val="nil"/>
              <w:left w:val="nil"/>
              <w:bottom w:val="nil"/>
              <w:right w:val="nil"/>
            </w:tcBorders>
            <w:vAlign w:val="center"/>
          </w:tcPr>
          <w:p w14:paraId="30869684" w14:textId="77777777" w:rsidR="00B72F64" w:rsidRPr="009E1F0B" w:rsidRDefault="00B72F64" w:rsidP="00784049">
            <w:pPr>
              <w:jc w:val="center"/>
            </w:pPr>
            <w:r w:rsidRPr="009E1F0B">
              <w:t>-.17 : -.15</w:t>
            </w:r>
          </w:p>
        </w:tc>
      </w:tr>
      <w:tr w:rsidR="0051131F" w:rsidRPr="009E1F0B" w14:paraId="02E5DE3F" w14:textId="77777777" w:rsidTr="0051131F">
        <w:trPr>
          <w:trHeight w:val="592"/>
        </w:trPr>
        <w:tc>
          <w:tcPr>
            <w:tcW w:w="3219" w:type="dxa"/>
            <w:tcBorders>
              <w:top w:val="nil"/>
              <w:left w:val="nil"/>
              <w:bottom w:val="nil"/>
              <w:right w:val="nil"/>
            </w:tcBorders>
            <w:vAlign w:val="center"/>
          </w:tcPr>
          <w:p w14:paraId="2B95401B" w14:textId="77777777" w:rsidR="00501783" w:rsidRDefault="00501783" w:rsidP="008C571D"/>
          <w:p w14:paraId="17C90B0D" w14:textId="77777777" w:rsidR="002827BF" w:rsidRPr="009E1F0B" w:rsidRDefault="002827BF" w:rsidP="008C571D">
            <w:r w:rsidRPr="009E1F0B">
              <w:t xml:space="preserve">Job-Based Work Outcomes </w:t>
            </w:r>
          </w:p>
          <w:p w14:paraId="16B9B0E4" w14:textId="77777777" w:rsidR="002827BF" w:rsidRPr="009E1F0B" w:rsidRDefault="002827BF" w:rsidP="008C571D"/>
        </w:tc>
        <w:tc>
          <w:tcPr>
            <w:tcW w:w="791" w:type="dxa"/>
            <w:tcBorders>
              <w:top w:val="nil"/>
              <w:left w:val="nil"/>
              <w:bottom w:val="nil"/>
              <w:right w:val="nil"/>
            </w:tcBorders>
            <w:vAlign w:val="center"/>
          </w:tcPr>
          <w:p w14:paraId="6CC3D306" w14:textId="77777777" w:rsidR="002827BF" w:rsidRPr="009E1F0B" w:rsidRDefault="002827BF" w:rsidP="008C571D">
            <w:pPr>
              <w:jc w:val="center"/>
            </w:pPr>
            <w:r w:rsidRPr="009E1F0B">
              <w:t>11,660</w:t>
            </w:r>
          </w:p>
        </w:tc>
        <w:tc>
          <w:tcPr>
            <w:tcW w:w="615" w:type="dxa"/>
            <w:tcBorders>
              <w:top w:val="nil"/>
              <w:left w:val="nil"/>
              <w:bottom w:val="nil"/>
              <w:right w:val="nil"/>
            </w:tcBorders>
            <w:vAlign w:val="center"/>
          </w:tcPr>
          <w:p w14:paraId="2F836FDD" w14:textId="77777777" w:rsidR="002827BF" w:rsidRPr="009E1F0B" w:rsidRDefault="002827BF" w:rsidP="008C571D">
            <w:pPr>
              <w:jc w:val="center"/>
            </w:pPr>
            <w:r w:rsidRPr="009E1F0B">
              <w:t>11</w:t>
            </w:r>
          </w:p>
        </w:tc>
        <w:tc>
          <w:tcPr>
            <w:tcW w:w="528" w:type="dxa"/>
            <w:tcBorders>
              <w:top w:val="nil"/>
              <w:left w:val="nil"/>
              <w:bottom w:val="nil"/>
              <w:right w:val="nil"/>
            </w:tcBorders>
            <w:vAlign w:val="center"/>
          </w:tcPr>
          <w:p w14:paraId="60672D4D" w14:textId="77777777" w:rsidR="002827BF" w:rsidRPr="009E1F0B" w:rsidRDefault="002827BF" w:rsidP="008C571D">
            <w:pPr>
              <w:jc w:val="center"/>
            </w:pPr>
            <w:r w:rsidRPr="009E1F0B">
              <w:t>-.04</w:t>
            </w:r>
          </w:p>
        </w:tc>
        <w:tc>
          <w:tcPr>
            <w:tcW w:w="615" w:type="dxa"/>
            <w:tcBorders>
              <w:top w:val="nil"/>
              <w:left w:val="nil"/>
              <w:bottom w:val="nil"/>
              <w:right w:val="nil"/>
            </w:tcBorders>
            <w:vAlign w:val="center"/>
          </w:tcPr>
          <w:p w14:paraId="7141CFC4" w14:textId="77777777" w:rsidR="002827BF" w:rsidRPr="009E1F0B" w:rsidRDefault="002827BF" w:rsidP="008C571D">
            <w:pPr>
              <w:jc w:val="center"/>
            </w:pPr>
            <w:r w:rsidRPr="009E1F0B">
              <w:t>-.05</w:t>
            </w:r>
          </w:p>
        </w:tc>
        <w:tc>
          <w:tcPr>
            <w:tcW w:w="528" w:type="dxa"/>
            <w:tcBorders>
              <w:top w:val="nil"/>
              <w:left w:val="nil"/>
              <w:bottom w:val="nil"/>
              <w:right w:val="nil"/>
            </w:tcBorders>
            <w:vAlign w:val="center"/>
          </w:tcPr>
          <w:p w14:paraId="04CC8885" w14:textId="77777777" w:rsidR="002827BF" w:rsidRPr="009E1F0B" w:rsidRDefault="002827BF" w:rsidP="008C571D">
            <w:pPr>
              <w:jc w:val="center"/>
            </w:pPr>
            <w:r w:rsidRPr="009E1F0B">
              <w:t>.006</w:t>
            </w:r>
          </w:p>
        </w:tc>
        <w:tc>
          <w:tcPr>
            <w:tcW w:w="615" w:type="dxa"/>
            <w:tcBorders>
              <w:top w:val="nil"/>
              <w:left w:val="nil"/>
              <w:bottom w:val="nil"/>
              <w:right w:val="nil"/>
            </w:tcBorders>
            <w:vAlign w:val="center"/>
          </w:tcPr>
          <w:p w14:paraId="359E029A" w14:textId="77777777" w:rsidR="002827BF" w:rsidRPr="009E1F0B" w:rsidRDefault="002827BF" w:rsidP="008C571D">
            <w:pPr>
              <w:jc w:val="center"/>
            </w:pPr>
            <w:r w:rsidRPr="009E1F0B">
              <w:t>.001</w:t>
            </w:r>
          </w:p>
        </w:tc>
        <w:tc>
          <w:tcPr>
            <w:tcW w:w="615" w:type="dxa"/>
            <w:tcBorders>
              <w:top w:val="nil"/>
              <w:left w:val="nil"/>
              <w:bottom w:val="nil"/>
              <w:right w:val="nil"/>
            </w:tcBorders>
            <w:vAlign w:val="center"/>
          </w:tcPr>
          <w:p w14:paraId="09D68ED6" w14:textId="77777777" w:rsidR="00A70010" w:rsidRPr="009E1F0B" w:rsidRDefault="0092144E" w:rsidP="00B72F64">
            <w:pPr>
              <w:jc w:val="center"/>
            </w:pPr>
            <w:r>
              <w:t>.079</w:t>
            </w:r>
          </w:p>
        </w:tc>
        <w:tc>
          <w:tcPr>
            <w:tcW w:w="615" w:type="dxa"/>
            <w:tcBorders>
              <w:top w:val="nil"/>
              <w:left w:val="nil"/>
              <w:bottom w:val="nil"/>
              <w:right w:val="nil"/>
            </w:tcBorders>
            <w:vAlign w:val="center"/>
          </w:tcPr>
          <w:p w14:paraId="073266C3" w14:textId="77777777" w:rsidR="0092144E" w:rsidRPr="009E1F0B" w:rsidRDefault="0092144E" w:rsidP="00B72F64">
            <w:pPr>
              <w:jc w:val="center"/>
            </w:pPr>
            <w:r>
              <w:t>.096</w:t>
            </w:r>
          </w:p>
        </w:tc>
        <w:tc>
          <w:tcPr>
            <w:tcW w:w="1759" w:type="dxa"/>
            <w:tcBorders>
              <w:top w:val="nil"/>
              <w:left w:val="nil"/>
              <w:bottom w:val="nil"/>
              <w:right w:val="nil"/>
            </w:tcBorders>
            <w:vAlign w:val="center"/>
          </w:tcPr>
          <w:p w14:paraId="339CF11A" w14:textId="77777777" w:rsidR="002827BF" w:rsidRPr="009E1F0B" w:rsidRDefault="002827BF" w:rsidP="00DF18D0">
            <w:pPr>
              <w:jc w:val="center"/>
            </w:pPr>
            <w:r w:rsidRPr="009E1F0B">
              <w:t>73.13</w:t>
            </w:r>
            <w:r w:rsidR="00DF18D0">
              <w:t xml:space="preserve">, </w:t>
            </w:r>
            <w:r w:rsidR="00DF18D0" w:rsidRPr="00DF18D0">
              <w:rPr>
                <w:i/>
              </w:rPr>
              <w:t>p</w:t>
            </w:r>
            <w:r w:rsidR="00DF18D0">
              <w:t xml:space="preserve"> = .000</w:t>
            </w:r>
          </w:p>
        </w:tc>
        <w:tc>
          <w:tcPr>
            <w:tcW w:w="1440" w:type="dxa"/>
            <w:tcBorders>
              <w:top w:val="nil"/>
              <w:left w:val="nil"/>
              <w:bottom w:val="nil"/>
              <w:right w:val="nil"/>
            </w:tcBorders>
            <w:vAlign w:val="center"/>
          </w:tcPr>
          <w:p w14:paraId="26DA3702" w14:textId="77777777" w:rsidR="002827BF" w:rsidRPr="009E1F0B" w:rsidRDefault="002827BF" w:rsidP="008C571D">
            <w:pPr>
              <w:jc w:val="center"/>
            </w:pPr>
            <w:r w:rsidRPr="009E1F0B">
              <w:t>-.17 : .08</w:t>
            </w:r>
          </w:p>
        </w:tc>
        <w:tc>
          <w:tcPr>
            <w:tcW w:w="1350" w:type="dxa"/>
            <w:tcBorders>
              <w:top w:val="nil"/>
              <w:left w:val="nil"/>
              <w:bottom w:val="nil"/>
              <w:right w:val="nil"/>
            </w:tcBorders>
            <w:vAlign w:val="center"/>
          </w:tcPr>
          <w:p w14:paraId="1C7D02EC" w14:textId="77777777" w:rsidR="002827BF" w:rsidRPr="009E1F0B" w:rsidRDefault="002827BF" w:rsidP="008C571D">
            <w:pPr>
              <w:jc w:val="center"/>
            </w:pPr>
            <w:r w:rsidRPr="009E1F0B">
              <w:t>-.05 : -.02</w:t>
            </w:r>
          </w:p>
        </w:tc>
      </w:tr>
      <w:tr w:rsidR="0051131F" w:rsidRPr="00F807A9" w14:paraId="7E3D8132" w14:textId="77777777" w:rsidTr="00452202">
        <w:trPr>
          <w:trHeight w:val="260"/>
        </w:trPr>
        <w:tc>
          <w:tcPr>
            <w:tcW w:w="3219" w:type="dxa"/>
            <w:tcBorders>
              <w:top w:val="nil"/>
              <w:left w:val="nil"/>
              <w:bottom w:val="single" w:sz="4" w:space="0" w:color="auto"/>
              <w:right w:val="nil"/>
            </w:tcBorders>
            <w:vAlign w:val="center"/>
          </w:tcPr>
          <w:p w14:paraId="478BC771" w14:textId="77777777" w:rsidR="000E2691" w:rsidRPr="009E1F0B" w:rsidRDefault="000E2691" w:rsidP="000E2691">
            <w:r w:rsidRPr="009E1F0B">
              <w:t xml:space="preserve">Relationship-Based Work </w:t>
            </w:r>
          </w:p>
          <w:p w14:paraId="586F0880" w14:textId="77777777" w:rsidR="000E2691" w:rsidRPr="009E1F0B" w:rsidRDefault="000E2691" w:rsidP="000E2691">
            <w:r w:rsidRPr="009E1F0B">
              <w:t xml:space="preserve">   Outcomes </w:t>
            </w:r>
          </w:p>
        </w:tc>
        <w:tc>
          <w:tcPr>
            <w:tcW w:w="791" w:type="dxa"/>
            <w:tcBorders>
              <w:top w:val="nil"/>
              <w:left w:val="nil"/>
              <w:bottom w:val="single" w:sz="4" w:space="0" w:color="auto"/>
              <w:right w:val="nil"/>
            </w:tcBorders>
            <w:vAlign w:val="center"/>
          </w:tcPr>
          <w:p w14:paraId="36A60E29" w14:textId="77777777" w:rsidR="000E2691" w:rsidRPr="009E1F0B" w:rsidRDefault="000E2691" w:rsidP="000E2691">
            <w:pPr>
              <w:jc w:val="center"/>
            </w:pPr>
            <w:r w:rsidRPr="009E1F0B">
              <w:t xml:space="preserve"> 3,648</w:t>
            </w:r>
          </w:p>
        </w:tc>
        <w:tc>
          <w:tcPr>
            <w:tcW w:w="615" w:type="dxa"/>
            <w:tcBorders>
              <w:top w:val="nil"/>
              <w:left w:val="nil"/>
              <w:bottom w:val="single" w:sz="4" w:space="0" w:color="auto"/>
              <w:right w:val="nil"/>
            </w:tcBorders>
            <w:vAlign w:val="center"/>
          </w:tcPr>
          <w:p w14:paraId="1B7A17CF" w14:textId="77777777" w:rsidR="000E2691" w:rsidRPr="009E1F0B" w:rsidRDefault="000E2691" w:rsidP="000E2691">
            <w:pPr>
              <w:jc w:val="center"/>
            </w:pPr>
            <w:r w:rsidRPr="009E1F0B">
              <w:t>5</w:t>
            </w:r>
          </w:p>
        </w:tc>
        <w:tc>
          <w:tcPr>
            <w:tcW w:w="528" w:type="dxa"/>
            <w:tcBorders>
              <w:top w:val="nil"/>
              <w:left w:val="nil"/>
              <w:bottom w:val="single" w:sz="4" w:space="0" w:color="auto"/>
              <w:right w:val="nil"/>
            </w:tcBorders>
            <w:vAlign w:val="center"/>
          </w:tcPr>
          <w:p w14:paraId="35F01CAB" w14:textId="77777777" w:rsidR="000E2691" w:rsidRPr="009E1F0B" w:rsidRDefault="000E2691" w:rsidP="000E2691">
            <w:pPr>
              <w:jc w:val="center"/>
            </w:pPr>
            <w:r w:rsidRPr="009E1F0B">
              <w:t>-.20</w:t>
            </w:r>
          </w:p>
        </w:tc>
        <w:tc>
          <w:tcPr>
            <w:tcW w:w="615" w:type="dxa"/>
            <w:tcBorders>
              <w:top w:val="nil"/>
              <w:left w:val="nil"/>
              <w:bottom w:val="single" w:sz="4" w:space="0" w:color="auto"/>
              <w:right w:val="nil"/>
            </w:tcBorders>
            <w:vAlign w:val="center"/>
          </w:tcPr>
          <w:p w14:paraId="57889600" w14:textId="77777777" w:rsidR="000E2691" w:rsidRPr="009E1F0B" w:rsidRDefault="000E2691" w:rsidP="000E2691">
            <w:pPr>
              <w:jc w:val="center"/>
            </w:pPr>
            <w:r w:rsidRPr="009E1F0B">
              <w:t>-.26</w:t>
            </w:r>
          </w:p>
        </w:tc>
        <w:tc>
          <w:tcPr>
            <w:tcW w:w="528" w:type="dxa"/>
            <w:tcBorders>
              <w:top w:val="nil"/>
              <w:left w:val="nil"/>
              <w:bottom w:val="single" w:sz="4" w:space="0" w:color="auto"/>
              <w:right w:val="nil"/>
            </w:tcBorders>
            <w:vAlign w:val="center"/>
          </w:tcPr>
          <w:p w14:paraId="2DEF5B96" w14:textId="77777777" w:rsidR="000E2691" w:rsidRPr="009E1F0B" w:rsidRDefault="000E2691" w:rsidP="000E2691">
            <w:pPr>
              <w:jc w:val="center"/>
            </w:pPr>
            <w:r w:rsidRPr="009E1F0B">
              <w:t>.009</w:t>
            </w:r>
          </w:p>
        </w:tc>
        <w:tc>
          <w:tcPr>
            <w:tcW w:w="615" w:type="dxa"/>
            <w:tcBorders>
              <w:top w:val="nil"/>
              <w:left w:val="nil"/>
              <w:bottom w:val="single" w:sz="4" w:space="0" w:color="auto"/>
              <w:right w:val="nil"/>
            </w:tcBorders>
            <w:vAlign w:val="center"/>
          </w:tcPr>
          <w:p w14:paraId="52995E4F" w14:textId="77777777" w:rsidR="000E2691" w:rsidRPr="009E1F0B" w:rsidRDefault="000E2691" w:rsidP="000E2691">
            <w:pPr>
              <w:jc w:val="center"/>
            </w:pPr>
            <w:r w:rsidRPr="009E1F0B">
              <w:t>.001</w:t>
            </w:r>
          </w:p>
        </w:tc>
        <w:tc>
          <w:tcPr>
            <w:tcW w:w="615" w:type="dxa"/>
            <w:tcBorders>
              <w:top w:val="nil"/>
              <w:left w:val="nil"/>
              <w:bottom w:val="single" w:sz="4" w:space="0" w:color="auto"/>
              <w:right w:val="nil"/>
            </w:tcBorders>
            <w:vAlign w:val="center"/>
          </w:tcPr>
          <w:p w14:paraId="60C3EE37" w14:textId="77777777" w:rsidR="000E2691" w:rsidRPr="0092144E" w:rsidRDefault="000E2691" w:rsidP="00B72F64">
            <w:pPr>
              <w:jc w:val="center"/>
            </w:pPr>
            <w:r>
              <w:t>.094</w:t>
            </w:r>
          </w:p>
        </w:tc>
        <w:tc>
          <w:tcPr>
            <w:tcW w:w="615" w:type="dxa"/>
            <w:tcBorders>
              <w:top w:val="nil"/>
              <w:left w:val="nil"/>
              <w:bottom w:val="single" w:sz="4" w:space="0" w:color="auto"/>
              <w:right w:val="nil"/>
            </w:tcBorders>
            <w:vAlign w:val="center"/>
          </w:tcPr>
          <w:p w14:paraId="579694F0" w14:textId="77777777" w:rsidR="000E2691" w:rsidRPr="0092144E" w:rsidRDefault="000E2691" w:rsidP="00B72F64">
            <w:pPr>
              <w:jc w:val="center"/>
            </w:pPr>
            <w:r>
              <w:t>.103</w:t>
            </w:r>
          </w:p>
        </w:tc>
        <w:tc>
          <w:tcPr>
            <w:tcW w:w="1759" w:type="dxa"/>
            <w:tcBorders>
              <w:top w:val="nil"/>
              <w:left w:val="nil"/>
              <w:bottom w:val="single" w:sz="4" w:space="0" w:color="auto"/>
              <w:right w:val="nil"/>
            </w:tcBorders>
            <w:vAlign w:val="center"/>
          </w:tcPr>
          <w:p w14:paraId="46DC96AD" w14:textId="2D95BAF4" w:rsidR="000E2691" w:rsidRPr="009E1F0B" w:rsidRDefault="005F1F17" w:rsidP="000E2691">
            <w:pPr>
              <w:jc w:val="center"/>
            </w:pPr>
            <w:r>
              <w:t>17.87</w:t>
            </w:r>
            <w:r w:rsidR="000E2691">
              <w:t xml:space="preserve">, </w:t>
            </w:r>
            <w:r w:rsidR="000E2691" w:rsidRPr="00DF18D0">
              <w:rPr>
                <w:i/>
              </w:rPr>
              <w:t>p</w:t>
            </w:r>
            <w:r w:rsidR="000E2691">
              <w:t xml:space="preserve"> = .000</w:t>
            </w:r>
          </w:p>
        </w:tc>
        <w:tc>
          <w:tcPr>
            <w:tcW w:w="1440" w:type="dxa"/>
            <w:tcBorders>
              <w:top w:val="nil"/>
              <w:left w:val="nil"/>
              <w:bottom w:val="single" w:sz="4" w:space="0" w:color="auto"/>
              <w:right w:val="nil"/>
            </w:tcBorders>
            <w:vAlign w:val="center"/>
          </w:tcPr>
          <w:p w14:paraId="178D3C5F" w14:textId="77777777" w:rsidR="000E2691" w:rsidRPr="009E1F0B" w:rsidRDefault="000E2691" w:rsidP="000E2691">
            <w:pPr>
              <w:jc w:val="center"/>
            </w:pPr>
            <w:r w:rsidRPr="009E1F0B">
              <w:t>-.39 : -.12</w:t>
            </w:r>
          </w:p>
        </w:tc>
        <w:tc>
          <w:tcPr>
            <w:tcW w:w="1350" w:type="dxa"/>
            <w:tcBorders>
              <w:top w:val="nil"/>
              <w:left w:val="nil"/>
              <w:bottom w:val="single" w:sz="4" w:space="0" w:color="auto"/>
              <w:right w:val="nil"/>
            </w:tcBorders>
            <w:vAlign w:val="center"/>
          </w:tcPr>
          <w:p w14:paraId="2051D3F7" w14:textId="77777777" w:rsidR="000E2691" w:rsidRPr="009E1F0B" w:rsidRDefault="000E2691" w:rsidP="000E2691">
            <w:pPr>
              <w:jc w:val="center"/>
            </w:pPr>
            <w:r w:rsidRPr="009E1F0B">
              <w:t>-.23 : -.17</w:t>
            </w:r>
          </w:p>
        </w:tc>
      </w:tr>
      <w:tr w:rsidR="002C4144" w:rsidRPr="00F807A9" w14:paraId="41647197" w14:textId="77777777" w:rsidTr="00452202">
        <w:trPr>
          <w:trHeight w:val="260"/>
        </w:trPr>
        <w:tc>
          <w:tcPr>
            <w:tcW w:w="12690" w:type="dxa"/>
            <w:gridSpan w:val="12"/>
            <w:tcBorders>
              <w:top w:val="single" w:sz="4" w:space="0" w:color="auto"/>
              <w:left w:val="nil"/>
              <w:bottom w:val="nil"/>
              <w:right w:val="nil"/>
            </w:tcBorders>
            <w:vAlign w:val="center"/>
          </w:tcPr>
          <w:p w14:paraId="69A1547F" w14:textId="77777777" w:rsidR="002C4144" w:rsidRPr="00E91E9F" w:rsidRDefault="002C4144" w:rsidP="00452202">
            <w:pPr>
              <w:pStyle w:val="FootnoteText"/>
            </w:pPr>
            <w:r w:rsidRPr="00F807A9">
              <w:rPr>
                <w:rFonts w:ascii="Times New Roman" w:hAnsi="Times New Roman"/>
                <w:i/>
              </w:rPr>
              <w:t>N</w:t>
            </w:r>
            <w:r w:rsidRPr="00F807A9">
              <w:rPr>
                <w:rFonts w:ascii="Times New Roman" w:hAnsi="Times New Roman"/>
              </w:rPr>
              <w:t xml:space="preserve"> = Total sample size; </w:t>
            </w:r>
            <w:r>
              <w:rPr>
                <w:rFonts w:ascii="Times New Roman" w:hAnsi="Times New Roman"/>
                <w:i/>
              </w:rPr>
              <w:t>k</w:t>
            </w:r>
            <w:r w:rsidRPr="00F807A9">
              <w:rPr>
                <w:rFonts w:ascii="Times New Roman" w:hAnsi="Times New Roman"/>
              </w:rPr>
              <w:t xml:space="preserve"> = Total no. of independent samples; </w:t>
            </w:r>
            <m:oMath>
              <m:acc>
                <m:accPr>
                  <m:chr m:val="̅"/>
                  <m:ctrlPr>
                    <w:rPr>
                      <w:rFonts w:ascii="Cambria Math" w:hAnsi="Cambria Math"/>
                      <w:i/>
                    </w:rPr>
                  </m:ctrlPr>
                </m:accPr>
                <m:e>
                  <m:r>
                    <w:rPr>
                      <w:rFonts w:ascii="Cambria Math" w:hAnsi="Cambria Math"/>
                    </w:rPr>
                    <m:t>r</m:t>
                  </m:r>
                </m:e>
              </m:acc>
            </m:oMath>
            <w:r w:rsidRPr="00F807A9">
              <w:rPr>
                <w:rFonts w:ascii="Times New Roman" w:hAnsi="Times New Roman"/>
              </w:rPr>
              <w:t xml:space="preserve"> = sample size weighted mean observed correlation; </w:t>
            </w:r>
            <m:oMath>
              <m:acc>
                <m:accPr>
                  <m:ctrlPr>
                    <w:rPr>
                      <w:rFonts w:ascii="Cambria Math" w:eastAsia="Times New Roman" w:hAnsi="Cambria Math"/>
                      <w:i/>
                      <w:sz w:val="24"/>
                      <w:szCs w:val="24"/>
                      <w:lang w:eastAsia="ar-SA"/>
                    </w:rPr>
                  </m:ctrlPr>
                </m:accPr>
                <m:e>
                  <m:r>
                    <w:rPr>
                      <w:rFonts w:ascii="Cambria Math" w:hAnsi="Cambria Math"/>
                    </w:rPr>
                    <m:t>ρ</m:t>
                  </m:r>
                </m:e>
              </m:acc>
            </m:oMath>
            <w:r w:rsidRPr="00F807A9">
              <w:rPr>
                <w:rFonts w:ascii="Times New Roman" w:hAnsi="Times New Roman"/>
              </w:rPr>
              <w:t xml:space="preserve"> = mean true score correlation; </w:t>
            </w:r>
            <m:oMath>
              <m:sSup>
                <m:sSupPr>
                  <m:ctrlPr>
                    <w:rPr>
                      <w:rFonts w:ascii="Cambria Math" w:eastAsia="SimHei" w:hAnsi="Cambria Math"/>
                      <w:i/>
                    </w:rPr>
                  </m:ctrlPr>
                </m:sSupPr>
                <m:e>
                  <m:sSub>
                    <m:sSubPr>
                      <m:ctrlPr>
                        <w:rPr>
                          <w:rFonts w:ascii="Cambria Math" w:eastAsia="SimHei" w:hAnsi="Cambria Math"/>
                          <w:i/>
                        </w:rPr>
                      </m:ctrlPr>
                    </m:sSubPr>
                    <m:e>
                      <m:r>
                        <w:rPr>
                          <w:rFonts w:ascii="Cambria Math" w:eastAsia="SimHei" w:hAnsi="Cambria Math"/>
                        </w:rPr>
                        <m:t>σ</m:t>
                      </m:r>
                    </m:e>
                    <m:sub>
                      <m:r>
                        <w:rPr>
                          <w:rFonts w:ascii="Cambria Math" w:eastAsia="SimHei" w:hAnsi="Cambria Math"/>
                        </w:rPr>
                        <m:t>r</m:t>
                      </m:r>
                    </m:sub>
                  </m:sSub>
                </m:e>
                <m:sup>
                  <m:r>
                    <w:rPr>
                      <w:rFonts w:ascii="Cambria Math" w:eastAsia="SimHei" w:hAnsi="Cambria Math"/>
                    </w:rPr>
                    <m:t>2</m:t>
                  </m:r>
                </m:sup>
              </m:sSup>
            </m:oMath>
            <w:r w:rsidRPr="00F807A9">
              <w:rPr>
                <w:rFonts w:ascii="Times New Roman" w:hAnsi="Times New Roman"/>
              </w:rPr>
              <w:t xml:space="preserve"> = sample size weighted observed variance of correlations; </w:t>
            </w:r>
            <m:oMath>
              <m:sSup>
                <m:sSupPr>
                  <m:ctrlPr>
                    <w:rPr>
                      <w:rFonts w:ascii="Cambria Math" w:eastAsia="SimHei" w:hAnsi="Cambria Math"/>
                      <w:i/>
                    </w:rPr>
                  </m:ctrlPr>
                </m:sSupPr>
                <m:e>
                  <m:sSub>
                    <m:sSubPr>
                      <m:ctrlPr>
                        <w:rPr>
                          <w:rFonts w:ascii="Cambria Math" w:eastAsia="SimHei" w:hAnsi="Cambria Math"/>
                          <w:i/>
                        </w:rPr>
                      </m:ctrlPr>
                    </m:sSubPr>
                    <m:e>
                      <m:r>
                        <w:rPr>
                          <w:rFonts w:ascii="Cambria Math" w:eastAsia="SimHei" w:hAnsi="Cambria Math"/>
                        </w:rPr>
                        <m:t>σ</m:t>
                      </m:r>
                    </m:e>
                    <m:sub>
                      <m:r>
                        <w:rPr>
                          <w:rFonts w:ascii="Cambria Math" w:eastAsia="SimHei" w:hAnsi="Cambria Math"/>
                        </w:rPr>
                        <m:t>e</m:t>
                      </m:r>
                    </m:sub>
                  </m:sSub>
                </m:e>
                <m:sup>
                  <m:r>
                    <w:rPr>
                      <w:rFonts w:ascii="Cambria Math" w:eastAsia="SimHei" w:hAnsi="Cambria Math"/>
                    </w:rPr>
                    <m:t>2</m:t>
                  </m:r>
                </m:sup>
              </m:sSup>
            </m:oMath>
            <w:r w:rsidRPr="00F807A9">
              <w:rPr>
                <w:rFonts w:ascii="Times New Roman" w:hAnsi="Times New Roman"/>
              </w:rPr>
              <w:t xml:space="preserve"> = variance attributable to sampling error variance; </w:t>
            </w:r>
            <w:r>
              <w:rPr>
                <w:rFonts w:ascii="Times New Roman" w:hAnsi="Times New Roman"/>
              </w:rPr>
              <w:t xml:space="preserve"> </w:t>
            </w:r>
            <w:r w:rsidRPr="00E91E9F">
              <w:rPr>
                <w:rFonts w:ascii="Times New Roman" w:hAnsi="Times New Roman"/>
                <w:i/>
              </w:rPr>
              <w:t xml:space="preserve">SD </w:t>
            </w:r>
            <m:oMath>
              <m:acc>
                <m:accPr>
                  <m:chr m:val="̅"/>
                  <m:ctrlPr>
                    <w:rPr>
                      <w:rFonts w:ascii="Cambria Math" w:hAnsi="Cambria Math"/>
                      <w:i/>
                    </w:rPr>
                  </m:ctrlPr>
                </m:accPr>
                <m:e>
                  <m:r>
                    <w:rPr>
                      <w:rFonts w:ascii="Cambria Math" w:hAnsi="Cambria Math"/>
                    </w:rPr>
                    <m:t>r</m:t>
                  </m:r>
                </m:e>
              </m:acc>
              <m:r>
                <w:rPr>
                  <w:rFonts w:ascii="Cambria Math" w:hAnsi="Cambria Math"/>
                </w:rPr>
                <m:t xml:space="preserve"> </m:t>
              </m:r>
            </m:oMath>
            <w:r>
              <w:rPr>
                <w:rFonts w:ascii="Times New Roman" w:eastAsia="Times New Roman" w:hAnsi="Times New Roman"/>
              </w:rPr>
              <w:t xml:space="preserve">= standard deviation of observed correlation; </w:t>
            </w:r>
            <w:r w:rsidRPr="00E91E9F">
              <w:rPr>
                <w:rFonts w:ascii="Times New Roman" w:hAnsi="Times New Roman"/>
                <w:i/>
              </w:rPr>
              <w:t>SD</w:t>
            </w:r>
            <m:oMath>
              <m:r>
                <w:rPr>
                  <w:rFonts w:ascii="Cambria Math" w:hAnsi="Cambria Math"/>
                </w:rPr>
                <m:t xml:space="preserve"> </m:t>
              </m:r>
              <m:acc>
                <m:accPr>
                  <m:ctrlPr>
                    <w:rPr>
                      <w:rFonts w:ascii="Cambria Math" w:hAnsi="Cambria Math"/>
                      <w:i/>
                    </w:rPr>
                  </m:ctrlPr>
                </m:accPr>
                <m:e>
                  <m:r>
                    <w:rPr>
                      <w:rFonts w:ascii="Cambria Math" w:hAnsi="Cambria Math"/>
                    </w:rPr>
                    <m:t>ρ</m:t>
                  </m:r>
                </m:e>
              </m:acc>
            </m:oMath>
            <w:r>
              <w:t xml:space="preserve"> </w:t>
            </w:r>
            <w:r>
              <w:rPr>
                <w:rFonts w:ascii="Times New Roman" w:eastAsia="Times New Roman" w:hAnsi="Times New Roman"/>
              </w:rPr>
              <w:t xml:space="preserve">= standard deviation of true score correlation; </w:t>
            </w:r>
            <w:r w:rsidRPr="00F807A9">
              <w:rPr>
                <w:rFonts w:ascii="Times New Roman" w:hAnsi="Times New Roman"/>
              </w:rPr>
              <w:t>χ</w:t>
            </w:r>
            <w:r w:rsidRPr="00F807A9">
              <w:rPr>
                <w:rFonts w:ascii="Times New Roman" w:hAnsi="Times New Roman"/>
                <w:vertAlign w:val="superscript"/>
              </w:rPr>
              <w:t>2</w:t>
            </w:r>
            <w:r w:rsidRPr="00F807A9">
              <w:rPr>
                <w:rFonts w:ascii="Times New Roman" w:hAnsi="Times New Roman"/>
                <w:vertAlign w:val="subscript"/>
              </w:rPr>
              <w:t>K-1</w:t>
            </w:r>
            <w:r>
              <w:rPr>
                <w:rFonts w:ascii="Times New Roman" w:hAnsi="Times New Roman"/>
              </w:rPr>
              <w:t xml:space="preserve"> = (</w:t>
            </w:r>
            <w:r w:rsidRPr="00F807A9">
              <w:rPr>
                <w:rFonts w:ascii="Times New Roman" w:hAnsi="Times New Roman"/>
              </w:rPr>
              <w:t xml:space="preserve">N / (1 - </w:t>
            </w:r>
            <m:oMath>
              <m:acc>
                <m:accPr>
                  <m:chr m:val="̅"/>
                  <m:ctrlPr>
                    <w:rPr>
                      <w:rFonts w:ascii="Cambria Math" w:hAnsi="Cambria Math"/>
                      <w:i/>
                    </w:rPr>
                  </m:ctrlPr>
                </m:accPr>
                <m:e>
                  <m:r>
                    <m:rPr>
                      <m:nor/>
                    </m:rPr>
                    <w:rPr>
                      <w:rFonts w:ascii="Times New Roman" w:hAnsi="Times New Roman"/>
                      <w:i/>
                    </w:rPr>
                    <m:t>r</m:t>
                  </m:r>
                </m:e>
              </m:acc>
            </m:oMath>
            <w:r w:rsidRPr="00F807A9">
              <w:rPr>
                <w:rFonts w:ascii="Times New Roman" w:hAnsi="Times New Roman"/>
              </w:rPr>
              <w:t xml:space="preserve"> </w:t>
            </w:r>
            <w:r w:rsidRPr="00F807A9">
              <w:rPr>
                <w:rFonts w:ascii="Times New Roman" w:hAnsi="Times New Roman"/>
                <w:vertAlign w:val="superscript"/>
              </w:rPr>
              <w:t>2</w:t>
            </w:r>
            <w:r w:rsidRPr="00F807A9">
              <w:rPr>
                <w:rFonts w:ascii="Times New Roman" w:hAnsi="Times New Roman"/>
              </w:rPr>
              <w:t>)</w:t>
            </w:r>
            <w:r w:rsidRPr="00F807A9">
              <w:rPr>
                <w:rFonts w:ascii="Times New Roman" w:hAnsi="Times New Roman"/>
                <w:vertAlign w:val="superscript"/>
              </w:rPr>
              <w:t xml:space="preserve">2 </w:t>
            </w:r>
            <w:r w:rsidRPr="00F807A9">
              <w:rPr>
                <w:rFonts w:ascii="Times New Roman" w:hAnsi="Times New Roman"/>
              </w:rPr>
              <w:t>) σ</w:t>
            </w:r>
            <w:r w:rsidRPr="00F807A9">
              <w:rPr>
                <w:rFonts w:ascii="Times New Roman" w:hAnsi="Times New Roman"/>
                <w:vertAlign w:val="subscript"/>
              </w:rPr>
              <w:t>r</w:t>
            </w:r>
            <w:r w:rsidRPr="00F807A9">
              <w:rPr>
                <w:rFonts w:ascii="Times New Roman" w:hAnsi="Times New Roman"/>
                <w:vertAlign w:val="superscript"/>
              </w:rPr>
              <w:t>2</w:t>
            </w:r>
            <w:r w:rsidRPr="00F807A9">
              <w:rPr>
                <w:rFonts w:ascii="Times New Roman" w:hAnsi="Times New Roman"/>
              </w:rPr>
              <w:t xml:space="preserve"> tests homogeneity of correlations (i.e.</w:t>
            </w:r>
            <w:r>
              <w:rPr>
                <w:rFonts w:ascii="Times New Roman" w:hAnsi="Times New Roman"/>
              </w:rPr>
              <w:t>,</w:t>
            </w:r>
            <w:r w:rsidRPr="00F807A9">
              <w:rPr>
                <w:rFonts w:ascii="Times New Roman" w:hAnsi="Times New Roman"/>
              </w:rPr>
              <w:t xml:space="preserve"> whether the residual variance is significantly large);</w:t>
            </w:r>
          </w:p>
          <w:p w14:paraId="6D338AC3" w14:textId="77777777" w:rsidR="002C4144" w:rsidRDefault="002C4144" w:rsidP="00452202">
            <w:pPr>
              <w:pStyle w:val="FootnoteText"/>
              <w:rPr>
                <w:rFonts w:ascii="Times New Roman" w:hAnsi="Times New Roman"/>
              </w:rPr>
            </w:pPr>
            <w:r w:rsidRPr="00F807A9">
              <w:rPr>
                <w:rFonts w:ascii="Times New Roman" w:eastAsia="Times New Roman" w:hAnsi="Times New Roman"/>
              </w:rPr>
              <w:t>80% credibility inter</w:t>
            </w:r>
            <w:r>
              <w:rPr>
                <w:rFonts w:ascii="Times New Roman" w:eastAsia="Times New Roman" w:hAnsi="Times New Roman"/>
              </w:rPr>
              <w:t>vals were calculated using</w:t>
            </w:r>
            <w:r w:rsidRPr="00F807A9">
              <w:rPr>
                <w:rFonts w:ascii="Times New Roman" w:eastAsia="Times New Roman" w:hAnsi="Times New Roman"/>
              </w:rPr>
              <w:t xml:space="preserve"> </w:t>
            </w:r>
            <m:oMath>
              <m:acc>
                <m:accPr>
                  <m:ctrlPr>
                    <w:rPr>
                      <w:rFonts w:ascii="Cambria Math" w:eastAsia="Times New Roman" w:hAnsi="Cambria Math"/>
                      <w:i/>
                      <w:sz w:val="24"/>
                      <w:szCs w:val="24"/>
                      <w:lang w:eastAsia="ar-SA"/>
                    </w:rPr>
                  </m:ctrlPr>
                </m:accPr>
                <m:e>
                  <m:r>
                    <w:rPr>
                      <w:rFonts w:ascii="Cambria Math" w:hAnsi="Cambria Math"/>
                    </w:rPr>
                    <m:t>ρ</m:t>
                  </m:r>
                </m:e>
              </m:acc>
            </m:oMath>
            <w:r w:rsidRPr="00F807A9">
              <w:rPr>
                <w:rFonts w:ascii="Times New Roman" w:eastAsia="Times New Roman" w:hAnsi="Times New Roman"/>
              </w:rPr>
              <w:t xml:space="preserve"> and the standard deviation of </w:t>
            </w:r>
            <m:oMath>
              <m:acc>
                <m:accPr>
                  <m:ctrlPr>
                    <w:rPr>
                      <w:rFonts w:ascii="Cambria Math" w:eastAsia="Times New Roman" w:hAnsi="Cambria Math"/>
                      <w:i/>
                      <w:sz w:val="24"/>
                      <w:szCs w:val="24"/>
                      <w:lang w:eastAsia="ar-SA"/>
                    </w:rPr>
                  </m:ctrlPr>
                </m:accPr>
                <m:e>
                  <m:r>
                    <w:rPr>
                      <w:rFonts w:ascii="Cambria Math" w:hAnsi="Cambria Math"/>
                    </w:rPr>
                    <m:t>ρ</m:t>
                  </m:r>
                </m:e>
              </m:acc>
            </m:oMath>
            <w:r w:rsidRPr="00F807A9">
              <w:rPr>
                <w:rFonts w:ascii="Times New Roman" w:eastAsia="Times New Roman" w:hAnsi="Times New Roman"/>
              </w:rPr>
              <w:t xml:space="preserve">; 95% confidence intervals </w:t>
            </w:r>
            <w:r>
              <w:rPr>
                <w:rFonts w:ascii="Times New Roman" w:eastAsia="Times New Roman" w:hAnsi="Times New Roman"/>
              </w:rPr>
              <w:t xml:space="preserve">were </w:t>
            </w:r>
            <w:r w:rsidRPr="00F807A9">
              <w:rPr>
                <w:rFonts w:ascii="Times New Roman" w:eastAsia="Times New Roman" w:hAnsi="Times New Roman"/>
              </w:rPr>
              <w:t xml:space="preserve">calculated using </w:t>
            </w:r>
            <m:oMath>
              <m:acc>
                <m:accPr>
                  <m:chr m:val="̅"/>
                  <m:ctrlPr>
                    <w:rPr>
                      <w:rFonts w:ascii="Cambria Math" w:hAnsi="Cambria Math"/>
                      <w:i/>
                    </w:rPr>
                  </m:ctrlPr>
                </m:accPr>
                <m:e>
                  <m:r>
                    <w:rPr>
                      <w:rFonts w:ascii="Cambria Math" w:hAnsi="Cambria Math"/>
                    </w:rPr>
                    <m:t>r</m:t>
                  </m:r>
                </m:e>
              </m:acc>
            </m:oMath>
            <w:r w:rsidRPr="00F807A9">
              <w:rPr>
                <w:rFonts w:ascii="Times New Roman" w:eastAsia="Times New Roman" w:hAnsi="Times New Roman"/>
              </w:rPr>
              <w:t xml:space="preserve"> and standard error based on sampling error variance </w:t>
            </w:r>
            <m:oMath>
              <m:sSup>
                <m:sSupPr>
                  <m:ctrlPr>
                    <w:rPr>
                      <w:rFonts w:ascii="Cambria Math" w:eastAsia="SimHei" w:hAnsi="Cambria Math"/>
                      <w:i/>
                    </w:rPr>
                  </m:ctrlPr>
                </m:sSupPr>
                <m:e>
                  <m:sSub>
                    <m:sSubPr>
                      <m:ctrlPr>
                        <w:rPr>
                          <w:rFonts w:ascii="Cambria Math" w:eastAsia="SimHei" w:hAnsi="Cambria Math"/>
                          <w:i/>
                        </w:rPr>
                      </m:ctrlPr>
                    </m:sSubPr>
                    <m:e>
                      <m:r>
                        <w:rPr>
                          <w:rFonts w:ascii="Cambria Math" w:eastAsia="SimHei" w:hAnsi="Cambria Math"/>
                        </w:rPr>
                        <m:t>σ</m:t>
                      </m:r>
                    </m:e>
                    <m:sub>
                      <m:r>
                        <w:rPr>
                          <w:rFonts w:ascii="Cambria Math" w:eastAsia="SimHei" w:hAnsi="Cambria Math"/>
                        </w:rPr>
                        <m:t>e</m:t>
                      </m:r>
                    </m:sub>
                  </m:sSub>
                </m:e>
                <m:sup>
                  <m:r>
                    <w:rPr>
                      <w:rFonts w:ascii="Cambria Math" w:eastAsia="SimHei" w:hAnsi="Cambria Math"/>
                    </w:rPr>
                    <m:t>2</m:t>
                  </m:r>
                </m:sup>
              </m:sSup>
            </m:oMath>
            <w:r w:rsidRPr="00F807A9">
              <w:rPr>
                <w:rFonts w:ascii="Times New Roman" w:eastAsia="Times New Roman" w:hAnsi="Times New Roman"/>
              </w:rPr>
              <w:t xml:space="preserve"> when population effect size variance is zero (i.e.</w:t>
            </w:r>
            <w:r>
              <w:rPr>
                <w:rFonts w:ascii="Times New Roman" w:eastAsia="Times New Roman" w:hAnsi="Times New Roman"/>
              </w:rPr>
              <w:t>,</w:t>
            </w:r>
            <w:r w:rsidRPr="00F807A9">
              <w:rPr>
                <w:rFonts w:ascii="Times New Roman" w:eastAsia="Times New Roman" w:hAnsi="Times New Roman"/>
              </w:rPr>
              <w:t xml:space="preserve"> homogeneous) o</w:t>
            </w:r>
            <w:r>
              <w:rPr>
                <w:rFonts w:ascii="Times New Roman" w:eastAsia="Times New Roman" w:hAnsi="Times New Roman"/>
              </w:rPr>
              <w:t>r using</w:t>
            </w:r>
            <w:r w:rsidRPr="00F807A9">
              <w:rPr>
                <w:rFonts w:ascii="Times New Roman" w:eastAsia="Times New Roman" w:hAnsi="Times New Roman"/>
              </w:rPr>
              <w:t xml:space="preserve"> </w:t>
            </w:r>
            <m:oMath>
              <m:acc>
                <m:accPr>
                  <m:chr m:val="̅"/>
                  <m:ctrlPr>
                    <w:rPr>
                      <w:rFonts w:ascii="Cambria Math" w:hAnsi="Cambria Math"/>
                      <w:i/>
                    </w:rPr>
                  </m:ctrlPr>
                </m:accPr>
                <m:e>
                  <m:r>
                    <w:rPr>
                      <w:rFonts w:ascii="Cambria Math" w:hAnsi="Cambria Math"/>
                    </w:rPr>
                    <m:t>r</m:t>
                  </m:r>
                </m:e>
              </m:acc>
            </m:oMath>
            <w:r w:rsidRPr="00F807A9">
              <w:rPr>
                <w:rFonts w:ascii="Times New Roman" w:eastAsia="Times New Roman" w:hAnsi="Times New Roman"/>
              </w:rPr>
              <w:t xml:space="preserve"> and standard error based on the residual variance of correlations after removing sampling error variance (i.e.</w:t>
            </w:r>
            <w:r>
              <w:rPr>
                <w:rFonts w:ascii="Times New Roman" w:eastAsia="Times New Roman" w:hAnsi="Times New Roman"/>
              </w:rPr>
              <w:t>,</w:t>
            </w:r>
            <w:r w:rsidRPr="00F807A9">
              <w:rPr>
                <w:rFonts w:ascii="Times New Roman" w:eastAsia="Times New Roman" w:hAnsi="Times New Roman"/>
              </w:rPr>
              <w:t xml:space="preserve"> heterogeneous) (Whitener, 1990).</w:t>
            </w:r>
            <w:r w:rsidRPr="00F807A9">
              <w:rPr>
                <w:rFonts w:ascii="Times New Roman" w:hAnsi="Times New Roman"/>
              </w:rPr>
              <w:t xml:space="preserve"> </w:t>
            </w:r>
          </w:p>
          <w:p w14:paraId="54BBBD92" w14:textId="77777777" w:rsidR="002C4144" w:rsidRPr="009E1F0B" w:rsidRDefault="002C4144" w:rsidP="000E2691">
            <w:pPr>
              <w:jc w:val="center"/>
            </w:pPr>
          </w:p>
        </w:tc>
      </w:tr>
    </w:tbl>
    <w:p w14:paraId="387E4482" w14:textId="77777777" w:rsidR="0051131F" w:rsidRDefault="0051131F" w:rsidP="0072390E">
      <w:pPr>
        <w:pStyle w:val="FootnoteText"/>
        <w:ind w:left="540"/>
        <w:rPr>
          <w:rFonts w:ascii="Times New Roman" w:hAnsi="Times New Roman"/>
          <w:i/>
        </w:rPr>
      </w:pPr>
    </w:p>
    <w:p w14:paraId="7289F8BF" w14:textId="77777777" w:rsidR="008C571D" w:rsidRDefault="008C571D" w:rsidP="008C571D">
      <w:pPr>
        <w:suppressAutoHyphens w:val="0"/>
        <w:spacing w:after="200" w:line="276" w:lineRule="auto"/>
        <w:rPr>
          <w:i/>
        </w:rPr>
      </w:pPr>
      <w:r>
        <w:rPr>
          <w:i/>
        </w:rPr>
        <w:br w:type="page"/>
      </w:r>
    </w:p>
    <w:p w14:paraId="3218AF7F" w14:textId="77777777" w:rsidR="008C571D" w:rsidRPr="00D12703" w:rsidRDefault="008C571D" w:rsidP="008C571D">
      <w:pPr>
        <w:jc w:val="center"/>
      </w:pPr>
      <w:r w:rsidRPr="00D12703">
        <w:lastRenderedPageBreak/>
        <w:t xml:space="preserve">Table </w:t>
      </w:r>
      <w:r>
        <w:t>2</w:t>
      </w:r>
    </w:p>
    <w:p w14:paraId="78117B91" w14:textId="77777777" w:rsidR="008C571D" w:rsidRPr="00B374A7" w:rsidRDefault="008C571D" w:rsidP="008C571D">
      <w:pPr>
        <w:jc w:val="center"/>
        <w:rPr>
          <w:i/>
        </w:rPr>
      </w:pPr>
      <w:r>
        <w:t xml:space="preserve">Moderation of </w:t>
      </w:r>
      <w:r w:rsidRPr="00164F89">
        <w:t xml:space="preserve">Labor Policy Integration and Enforcement of Gender Equality in Labor Practice </w:t>
      </w:r>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44"/>
        <w:gridCol w:w="809"/>
        <w:gridCol w:w="594"/>
        <w:gridCol w:w="596"/>
        <w:gridCol w:w="594"/>
        <w:gridCol w:w="594"/>
        <w:gridCol w:w="594"/>
        <w:gridCol w:w="720"/>
        <w:gridCol w:w="720"/>
        <w:gridCol w:w="1710"/>
        <w:gridCol w:w="1350"/>
        <w:gridCol w:w="1535"/>
      </w:tblGrid>
      <w:tr w:rsidR="00D8145F" w:rsidRPr="00B374A7" w14:paraId="37165CF7" w14:textId="77777777" w:rsidTr="00226AB0">
        <w:trPr>
          <w:trHeight w:val="602"/>
        </w:trPr>
        <w:tc>
          <w:tcPr>
            <w:tcW w:w="3144" w:type="dxa"/>
            <w:tcBorders>
              <w:bottom w:val="single" w:sz="4" w:space="0" w:color="auto"/>
            </w:tcBorders>
            <w:vAlign w:val="center"/>
          </w:tcPr>
          <w:p w14:paraId="51BE611C" w14:textId="77777777" w:rsidR="00D8145F" w:rsidRPr="00B374A7" w:rsidRDefault="00D8145F" w:rsidP="00D8145F">
            <w:pPr>
              <w:jc w:val="center"/>
            </w:pPr>
            <w:r w:rsidRPr="00B374A7">
              <w:t>Moderator</w:t>
            </w:r>
          </w:p>
        </w:tc>
        <w:tc>
          <w:tcPr>
            <w:tcW w:w="809" w:type="dxa"/>
            <w:tcBorders>
              <w:bottom w:val="single" w:sz="4" w:space="0" w:color="auto"/>
            </w:tcBorders>
            <w:vAlign w:val="center"/>
          </w:tcPr>
          <w:p w14:paraId="0FA05DB2" w14:textId="77777777" w:rsidR="00D8145F" w:rsidRPr="00B374A7" w:rsidRDefault="00D8145F" w:rsidP="00D8145F">
            <w:pPr>
              <w:jc w:val="center"/>
              <w:rPr>
                <w:i/>
              </w:rPr>
            </w:pPr>
            <w:r w:rsidRPr="00B374A7">
              <w:rPr>
                <w:i/>
              </w:rPr>
              <w:t>N</w:t>
            </w:r>
          </w:p>
        </w:tc>
        <w:tc>
          <w:tcPr>
            <w:tcW w:w="594" w:type="dxa"/>
            <w:tcBorders>
              <w:bottom w:val="single" w:sz="4" w:space="0" w:color="auto"/>
            </w:tcBorders>
            <w:vAlign w:val="center"/>
          </w:tcPr>
          <w:p w14:paraId="16372612" w14:textId="77777777" w:rsidR="00D8145F" w:rsidRPr="00B374A7" w:rsidRDefault="00D8145F" w:rsidP="00D8145F">
            <w:pPr>
              <w:jc w:val="center"/>
              <w:rPr>
                <w:i/>
              </w:rPr>
            </w:pPr>
            <w:r w:rsidRPr="00B374A7">
              <w:rPr>
                <w:i/>
              </w:rPr>
              <w:t>k</w:t>
            </w:r>
          </w:p>
        </w:tc>
        <w:tc>
          <w:tcPr>
            <w:tcW w:w="596" w:type="dxa"/>
            <w:tcBorders>
              <w:bottom w:val="single" w:sz="4" w:space="0" w:color="auto"/>
            </w:tcBorders>
            <w:vAlign w:val="center"/>
          </w:tcPr>
          <w:p w14:paraId="5CBC410D" w14:textId="77777777" w:rsidR="00D8145F" w:rsidRPr="00B374A7" w:rsidRDefault="00901446" w:rsidP="00D8145F">
            <w:pPr>
              <w:jc w:val="center"/>
            </w:pPr>
            <m:oMathPara>
              <m:oMath>
                <m:acc>
                  <m:accPr>
                    <m:chr m:val="̅"/>
                    <m:ctrlPr>
                      <w:rPr>
                        <w:rFonts w:ascii="Cambria Math" w:hAnsi="Cambria Math"/>
                        <w:i/>
                      </w:rPr>
                    </m:ctrlPr>
                  </m:accPr>
                  <m:e>
                    <m:r>
                      <w:rPr>
                        <w:rFonts w:ascii="Cambria Math" w:hAnsi="Cambria Math"/>
                      </w:rPr>
                      <m:t>r</m:t>
                    </m:r>
                  </m:e>
                </m:acc>
              </m:oMath>
            </m:oMathPara>
          </w:p>
        </w:tc>
        <w:tc>
          <w:tcPr>
            <w:tcW w:w="594" w:type="dxa"/>
            <w:tcBorders>
              <w:bottom w:val="single" w:sz="4" w:space="0" w:color="auto"/>
            </w:tcBorders>
            <w:vAlign w:val="center"/>
          </w:tcPr>
          <w:p w14:paraId="3D18789F" w14:textId="77777777" w:rsidR="00D8145F" w:rsidRPr="00B374A7" w:rsidRDefault="00901446" w:rsidP="00D8145F">
            <w:pPr>
              <w:jc w:val="center"/>
              <w:rPr>
                <w:rFonts w:ascii="Calibri" w:eastAsia="Calibri" w:hAnsi="Calibri"/>
              </w:rPr>
            </w:pPr>
            <m:oMathPara>
              <m:oMath>
                <m:acc>
                  <m:accPr>
                    <m:ctrlPr>
                      <w:rPr>
                        <w:rFonts w:ascii="Cambria Math" w:hAnsi="Cambria Math"/>
                        <w:i/>
                      </w:rPr>
                    </m:ctrlPr>
                  </m:accPr>
                  <m:e>
                    <m:r>
                      <w:rPr>
                        <w:rFonts w:ascii="Cambria Math" w:hAnsi="Cambria Math"/>
                      </w:rPr>
                      <m:t>ρ</m:t>
                    </m:r>
                  </m:e>
                </m:acc>
              </m:oMath>
            </m:oMathPara>
          </w:p>
        </w:tc>
        <w:tc>
          <w:tcPr>
            <w:tcW w:w="594" w:type="dxa"/>
            <w:tcBorders>
              <w:bottom w:val="single" w:sz="4" w:space="0" w:color="auto"/>
            </w:tcBorders>
            <w:vAlign w:val="center"/>
          </w:tcPr>
          <w:p w14:paraId="6ED850FD" w14:textId="77777777" w:rsidR="00D8145F" w:rsidRPr="00B374A7" w:rsidRDefault="00901446" w:rsidP="00D8145F">
            <w:pPr>
              <w:jc w:val="center"/>
            </w:pPr>
            <m:oMathPara>
              <m:oMath>
                <m:sSup>
                  <m:sSupPr>
                    <m:ctrlPr>
                      <w:rPr>
                        <w:rFonts w:ascii="Cambria Math" w:eastAsia="SimHei" w:hAnsi="Cambria Math"/>
                        <w:i/>
                      </w:rPr>
                    </m:ctrlPr>
                  </m:sSupPr>
                  <m:e>
                    <m:sSub>
                      <m:sSubPr>
                        <m:ctrlPr>
                          <w:rPr>
                            <w:rFonts w:ascii="Cambria Math" w:eastAsia="SimHei" w:hAnsi="Cambria Math"/>
                            <w:i/>
                          </w:rPr>
                        </m:ctrlPr>
                      </m:sSubPr>
                      <m:e>
                        <m:r>
                          <w:rPr>
                            <w:rFonts w:ascii="Cambria Math" w:eastAsia="SimHei" w:hAnsi="Cambria Math"/>
                          </w:rPr>
                          <m:t>σ</m:t>
                        </m:r>
                      </m:e>
                      <m:sub>
                        <m:r>
                          <w:rPr>
                            <w:rFonts w:ascii="Cambria Math" w:eastAsia="SimHei" w:hAnsi="Cambria Math"/>
                          </w:rPr>
                          <m:t>r</m:t>
                        </m:r>
                      </m:sub>
                    </m:sSub>
                  </m:e>
                  <m:sup>
                    <m:r>
                      <w:rPr>
                        <w:rFonts w:ascii="Cambria Math" w:eastAsia="SimHei" w:hAnsi="Cambria Math"/>
                      </w:rPr>
                      <m:t>2</m:t>
                    </m:r>
                  </m:sup>
                </m:sSup>
              </m:oMath>
            </m:oMathPara>
          </w:p>
        </w:tc>
        <w:tc>
          <w:tcPr>
            <w:tcW w:w="594" w:type="dxa"/>
            <w:tcBorders>
              <w:bottom w:val="single" w:sz="4" w:space="0" w:color="auto"/>
            </w:tcBorders>
            <w:vAlign w:val="center"/>
          </w:tcPr>
          <w:p w14:paraId="7BA7E2F5" w14:textId="77777777" w:rsidR="00D8145F" w:rsidRPr="00B374A7" w:rsidRDefault="00901446" w:rsidP="00D8145F">
            <w:pPr>
              <w:jc w:val="center"/>
            </w:pPr>
            <m:oMathPara>
              <m:oMath>
                <m:sSup>
                  <m:sSupPr>
                    <m:ctrlPr>
                      <w:rPr>
                        <w:rFonts w:ascii="Cambria Math" w:eastAsia="SimHei" w:hAnsi="Cambria Math"/>
                        <w:i/>
                      </w:rPr>
                    </m:ctrlPr>
                  </m:sSupPr>
                  <m:e>
                    <m:sSub>
                      <m:sSubPr>
                        <m:ctrlPr>
                          <w:rPr>
                            <w:rFonts w:ascii="Cambria Math" w:eastAsia="SimHei" w:hAnsi="Cambria Math"/>
                            <w:i/>
                          </w:rPr>
                        </m:ctrlPr>
                      </m:sSubPr>
                      <m:e>
                        <m:r>
                          <w:rPr>
                            <w:rFonts w:ascii="Cambria Math" w:eastAsia="SimHei" w:hAnsi="Cambria Math"/>
                          </w:rPr>
                          <m:t>σ</m:t>
                        </m:r>
                      </m:e>
                      <m:sub>
                        <m:r>
                          <w:rPr>
                            <w:rFonts w:ascii="Cambria Math" w:eastAsia="SimHei" w:hAnsi="Cambria Math"/>
                          </w:rPr>
                          <m:t>e</m:t>
                        </m:r>
                      </m:sub>
                    </m:sSub>
                  </m:e>
                  <m:sup>
                    <m:r>
                      <w:rPr>
                        <w:rFonts w:ascii="Cambria Math" w:eastAsia="SimHei" w:hAnsi="Cambria Math"/>
                      </w:rPr>
                      <m:t>2</m:t>
                    </m:r>
                  </m:sup>
                </m:sSup>
              </m:oMath>
            </m:oMathPara>
          </w:p>
        </w:tc>
        <w:tc>
          <w:tcPr>
            <w:tcW w:w="720" w:type="dxa"/>
            <w:tcBorders>
              <w:bottom w:val="single" w:sz="4" w:space="0" w:color="auto"/>
            </w:tcBorders>
          </w:tcPr>
          <w:p w14:paraId="72BAC451" w14:textId="77777777" w:rsidR="00D8145F" w:rsidRDefault="00D8145F" w:rsidP="00D8145F">
            <w:pPr>
              <w:jc w:val="center"/>
              <w:rPr>
                <w:i/>
              </w:rPr>
            </w:pPr>
          </w:p>
          <w:p w14:paraId="020A4640" w14:textId="77777777" w:rsidR="00D8145F" w:rsidRPr="00B374A7" w:rsidRDefault="00D8145F" w:rsidP="00D8145F">
            <w:pPr>
              <w:jc w:val="center"/>
            </w:pPr>
            <w:r w:rsidRPr="004903E8">
              <w:rPr>
                <w:i/>
              </w:rPr>
              <w:t>SD</w:t>
            </w:r>
            <w:r>
              <w:rPr>
                <w:i/>
              </w:rPr>
              <w:t xml:space="preserve"> </w:t>
            </w:r>
            <m:oMath>
              <m:acc>
                <m:accPr>
                  <m:chr m:val="̅"/>
                  <m:ctrlPr>
                    <w:rPr>
                      <w:rFonts w:ascii="Cambria Math" w:hAnsi="Cambria Math"/>
                      <w:i/>
                    </w:rPr>
                  </m:ctrlPr>
                </m:accPr>
                <m:e>
                  <m:r>
                    <w:rPr>
                      <w:rFonts w:ascii="Cambria Math" w:hAnsi="Cambria Math"/>
                    </w:rPr>
                    <m:t>r</m:t>
                  </m:r>
                </m:e>
              </m:acc>
            </m:oMath>
          </w:p>
        </w:tc>
        <w:tc>
          <w:tcPr>
            <w:tcW w:w="720" w:type="dxa"/>
            <w:tcBorders>
              <w:bottom w:val="single" w:sz="4" w:space="0" w:color="auto"/>
            </w:tcBorders>
          </w:tcPr>
          <w:p w14:paraId="5F35AB3D" w14:textId="77777777" w:rsidR="00D8145F" w:rsidRDefault="00D8145F" w:rsidP="00D8145F">
            <w:pPr>
              <w:jc w:val="center"/>
              <w:rPr>
                <w:i/>
              </w:rPr>
            </w:pPr>
          </w:p>
          <w:p w14:paraId="28F72086" w14:textId="77777777" w:rsidR="00D8145F" w:rsidRDefault="00D8145F" w:rsidP="00D8145F">
            <w:pPr>
              <w:jc w:val="center"/>
            </w:pPr>
            <w:r w:rsidRPr="004903E8">
              <w:rPr>
                <w:i/>
              </w:rPr>
              <w:t>SD</w:t>
            </w:r>
            <m:oMath>
              <m:r>
                <w:rPr>
                  <w:rFonts w:ascii="Cambria Math" w:hAnsi="Cambria Math"/>
                </w:rPr>
                <m:t xml:space="preserve"> </m:t>
              </m:r>
              <m:acc>
                <m:accPr>
                  <m:ctrlPr>
                    <w:rPr>
                      <w:rFonts w:ascii="Cambria Math" w:hAnsi="Cambria Math"/>
                      <w:i/>
                    </w:rPr>
                  </m:ctrlPr>
                </m:accPr>
                <m:e>
                  <m:r>
                    <w:rPr>
                      <w:rFonts w:ascii="Cambria Math" w:hAnsi="Cambria Math"/>
                    </w:rPr>
                    <m:t>ρ</m:t>
                  </m:r>
                </m:e>
              </m:acc>
            </m:oMath>
          </w:p>
          <w:p w14:paraId="2BA78B99" w14:textId="77777777" w:rsidR="00D8145F" w:rsidRPr="00B374A7" w:rsidRDefault="00D8145F" w:rsidP="00D8145F">
            <w:pPr>
              <w:jc w:val="center"/>
            </w:pPr>
          </w:p>
        </w:tc>
        <w:tc>
          <w:tcPr>
            <w:tcW w:w="1710" w:type="dxa"/>
            <w:tcBorders>
              <w:bottom w:val="single" w:sz="4" w:space="0" w:color="auto"/>
            </w:tcBorders>
            <w:vAlign w:val="center"/>
          </w:tcPr>
          <w:p w14:paraId="55A33B08" w14:textId="77777777" w:rsidR="00D8145F" w:rsidRPr="00B374A7" w:rsidRDefault="00D8145F" w:rsidP="00D8145F">
            <w:pPr>
              <w:jc w:val="center"/>
            </w:pPr>
            <w:r w:rsidRPr="00F807A9">
              <w:t>χ</w:t>
            </w:r>
            <w:r w:rsidRPr="00F807A9">
              <w:rPr>
                <w:vertAlign w:val="superscript"/>
              </w:rPr>
              <w:t>2</w:t>
            </w:r>
            <w:r>
              <w:t xml:space="preserve"> test</w:t>
            </w:r>
          </w:p>
        </w:tc>
        <w:tc>
          <w:tcPr>
            <w:tcW w:w="1350" w:type="dxa"/>
            <w:tcBorders>
              <w:bottom w:val="single" w:sz="4" w:space="0" w:color="auto"/>
            </w:tcBorders>
            <w:vAlign w:val="center"/>
          </w:tcPr>
          <w:p w14:paraId="721C8290" w14:textId="77777777" w:rsidR="00D8145F" w:rsidRPr="00B374A7" w:rsidRDefault="00D8145F" w:rsidP="00D8145F">
            <w:pPr>
              <w:jc w:val="center"/>
            </w:pPr>
            <w:r w:rsidRPr="00B374A7">
              <w:t>80% credibility interval</w:t>
            </w:r>
          </w:p>
        </w:tc>
        <w:tc>
          <w:tcPr>
            <w:tcW w:w="1535" w:type="dxa"/>
            <w:tcBorders>
              <w:bottom w:val="single" w:sz="4" w:space="0" w:color="auto"/>
            </w:tcBorders>
            <w:vAlign w:val="center"/>
          </w:tcPr>
          <w:p w14:paraId="4AC9B44A" w14:textId="77777777" w:rsidR="00D8145F" w:rsidRPr="00B374A7" w:rsidRDefault="00D8145F" w:rsidP="00D8145F">
            <w:pPr>
              <w:jc w:val="center"/>
            </w:pPr>
            <w:r w:rsidRPr="00B374A7">
              <w:t>95% confidence interval</w:t>
            </w:r>
          </w:p>
        </w:tc>
      </w:tr>
      <w:tr w:rsidR="008C571D" w:rsidRPr="008E36A4" w14:paraId="4832271A" w14:textId="77777777" w:rsidTr="008C571D">
        <w:trPr>
          <w:trHeight w:val="245"/>
        </w:trPr>
        <w:tc>
          <w:tcPr>
            <w:tcW w:w="12960" w:type="dxa"/>
            <w:gridSpan w:val="12"/>
            <w:tcBorders>
              <w:top w:val="single" w:sz="4" w:space="0" w:color="auto"/>
              <w:left w:val="nil"/>
              <w:bottom w:val="single" w:sz="4" w:space="0" w:color="auto"/>
              <w:right w:val="nil"/>
            </w:tcBorders>
          </w:tcPr>
          <w:p w14:paraId="6FF940A7" w14:textId="77777777" w:rsidR="008C571D" w:rsidRPr="008E36A4" w:rsidRDefault="008C571D" w:rsidP="008C571D">
            <w:pPr>
              <w:jc w:val="center"/>
              <w:rPr>
                <w:b/>
              </w:rPr>
            </w:pPr>
            <w:r w:rsidRPr="008E36A4">
              <w:rPr>
                <w:b/>
              </w:rPr>
              <w:t>Job Attitudes</w:t>
            </w:r>
          </w:p>
        </w:tc>
      </w:tr>
      <w:tr w:rsidR="00C27A73" w:rsidRPr="008E36A4" w14:paraId="5C531E06" w14:textId="77777777" w:rsidTr="00226AB0">
        <w:trPr>
          <w:trHeight w:val="245"/>
        </w:trPr>
        <w:tc>
          <w:tcPr>
            <w:tcW w:w="3144" w:type="dxa"/>
            <w:tcBorders>
              <w:top w:val="single" w:sz="4" w:space="0" w:color="auto"/>
              <w:left w:val="nil"/>
              <w:bottom w:val="nil"/>
              <w:right w:val="nil"/>
            </w:tcBorders>
            <w:vAlign w:val="center"/>
          </w:tcPr>
          <w:p w14:paraId="4712E198" w14:textId="77777777" w:rsidR="00C27A73" w:rsidRPr="00933E3B" w:rsidRDefault="00C27A73" w:rsidP="008C571D">
            <w:r w:rsidRPr="00933E3B">
              <w:t xml:space="preserve">High Labor Policy Integration </w:t>
            </w:r>
          </w:p>
          <w:p w14:paraId="3A655332" w14:textId="77777777" w:rsidR="00C27A73" w:rsidRPr="00933E3B" w:rsidRDefault="00C27A73" w:rsidP="008C571D">
            <w:r w:rsidRPr="00933E3B">
              <w:t xml:space="preserve">   and Practice Enforcement </w:t>
            </w:r>
            <w:r w:rsidRPr="00933E3B">
              <w:rPr>
                <w:vertAlign w:val="superscript"/>
              </w:rPr>
              <w:t>1</w:t>
            </w:r>
          </w:p>
        </w:tc>
        <w:tc>
          <w:tcPr>
            <w:tcW w:w="809" w:type="dxa"/>
            <w:tcBorders>
              <w:top w:val="single" w:sz="4" w:space="0" w:color="auto"/>
              <w:left w:val="nil"/>
              <w:bottom w:val="nil"/>
              <w:right w:val="nil"/>
            </w:tcBorders>
            <w:vAlign w:val="center"/>
          </w:tcPr>
          <w:p w14:paraId="5C3569DF" w14:textId="77777777" w:rsidR="00C27A73" w:rsidRPr="00933E3B" w:rsidRDefault="00C27A73" w:rsidP="008C571D">
            <w:pPr>
              <w:jc w:val="center"/>
            </w:pPr>
            <w:r w:rsidRPr="00933E3B">
              <w:t>12,378</w:t>
            </w:r>
          </w:p>
        </w:tc>
        <w:tc>
          <w:tcPr>
            <w:tcW w:w="594" w:type="dxa"/>
            <w:tcBorders>
              <w:top w:val="single" w:sz="4" w:space="0" w:color="auto"/>
              <w:left w:val="nil"/>
              <w:bottom w:val="nil"/>
              <w:right w:val="nil"/>
            </w:tcBorders>
            <w:vAlign w:val="center"/>
          </w:tcPr>
          <w:p w14:paraId="082B7F82" w14:textId="77777777" w:rsidR="00C27A73" w:rsidRPr="00933E3B" w:rsidRDefault="00C27A73" w:rsidP="008C571D">
            <w:pPr>
              <w:jc w:val="center"/>
            </w:pPr>
            <w:r w:rsidRPr="00933E3B">
              <w:t>7</w:t>
            </w:r>
          </w:p>
        </w:tc>
        <w:tc>
          <w:tcPr>
            <w:tcW w:w="596" w:type="dxa"/>
            <w:tcBorders>
              <w:top w:val="single" w:sz="4" w:space="0" w:color="auto"/>
              <w:left w:val="nil"/>
              <w:bottom w:val="nil"/>
              <w:right w:val="nil"/>
            </w:tcBorders>
            <w:vAlign w:val="center"/>
          </w:tcPr>
          <w:p w14:paraId="07C75C7F" w14:textId="77777777" w:rsidR="00C27A73" w:rsidRPr="00933E3B" w:rsidRDefault="00C27A73" w:rsidP="008C571D">
            <w:pPr>
              <w:jc w:val="center"/>
            </w:pPr>
            <w:r w:rsidRPr="00933E3B">
              <w:t>-.15</w:t>
            </w:r>
          </w:p>
        </w:tc>
        <w:tc>
          <w:tcPr>
            <w:tcW w:w="594" w:type="dxa"/>
            <w:tcBorders>
              <w:top w:val="single" w:sz="4" w:space="0" w:color="auto"/>
              <w:left w:val="nil"/>
              <w:bottom w:val="nil"/>
              <w:right w:val="nil"/>
            </w:tcBorders>
            <w:vAlign w:val="center"/>
          </w:tcPr>
          <w:p w14:paraId="06342572" w14:textId="77777777" w:rsidR="00C27A73" w:rsidRPr="00933E3B" w:rsidRDefault="00C27A73" w:rsidP="008C571D">
            <w:pPr>
              <w:jc w:val="center"/>
            </w:pPr>
            <w:r w:rsidRPr="00933E3B">
              <w:t>-.17</w:t>
            </w:r>
          </w:p>
        </w:tc>
        <w:tc>
          <w:tcPr>
            <w:tcW w:w="594" w:type="dxa"/>
            <w:tcBorders>
              <w:top w:val="single" w:sz="4" w:space="0" w:color="auto"/>
              <w:left w:val="nil"/>
              <w:bottom w:val="nil"/>
              <w:right w:val="nil"/>
            </w:tcBorders>
            <w:vAlign w:val="center"/>
          </w:tcPr>
          <w:p w14:paraId="198D2776" w14:textId="77777777" w:rsidR="00C27A73" w:rsidRPr="00933E3B" w:rsidRDefault="00C27A73" w:rsidP="008C571D">
            <w:pPr>
              <w:jc w:val="center"/>
            </w:pPr>
            <w:r w:rsidRPr="00933E3B">
              <w:t>.009</w:t>
            </w:r>
          </w:p>
        </w:tc>
        <w:tc>
          <w:tcPr>
            <w:tcW w:w="594" w:type="dxa"/>
            <w:tcBorders>
              <w:top w:val="single" w:sz="4" w:space="0" w:color="auto"/>
              <w:left w:val="nil"/>
              <w:bottom w:val="nil"/>
              <w:right w:val="nil"/>
            </w:tcBorders>
            <w:vAlign w:val="center"/>
          </w:tcPr>
          <w:p w14:paraId="572F9150" w14:textId="77777777" w:rsidR="00C27A73" w:rsidRPr="008E36A4" w:rsidRDefault="00C27A73" w:rsidP="008C571D">
            <w:pPr>
              <w:jc w:val="center"/>
            </w:pPr>
            <w:r w:rsidRPr="008E36A4">
              <w:t>.001</w:t>
            </w:r>
          </w:p>
        </w:tc>
        <w:tc>
          <w:tcPr>
            <w:tcW w:w="720" w:type="dxa"/>
            <w:tcBorders>
              <w:top w:val="single" w:sz="4" w:space="0" w:color="auto"/>
              <w:left w:val="nil"/>
              <w:bottom w:val="nil"/>
              <w:right w:val="nil"/>
            </w:tcBorders>
            <w:vAlign w:val="center"/>
          </w:tcPr>
          <w:p w14:paraId="56E693C9" w14:textId="77777777" w:rsidR="00C27A73" w:rsidRPr="008E36A4" w:rsidRDefault="00535B70" w:rsidP="008C571D">
            <w:pPr>
              <w:jc w:val="center"/>
            </w:pPr>
            <w:r>
              <w:t>.095</w:t>
            </w:r>
          </w:p>
        </w:tc>
        <w:tc>
          <w:tcPr>
            <w:tcW w:w="720" w:type="dxa"/>
            <w:tcBorders>
              <w:top w:val="single" w:sz="4" w:space="0" w:color="auto"/>
              <w:left w:val="nil"/>
              <w:bottom w:val="nil"/>
              <w:right w:val="nil"/>
            </w:tcBorders>
            <w:vAlign w:val="center"/>
          </w:tcPr>
          <w:p w14:paraId="66C06B2C" w14:textId="77777777" w:rsidR="00C27A73" w:rsidRPr="008E36A4" w:rsidRDefault="00535B70" w:rsidP="008C571D">
            <w:pPr>
              <w:jc w:val="center"/>
            </w:pPr>
            <w:r>
              <w:t>.109</w:t>
            </w:r>
          </w:p>
        </w:tc>
        <w:tc>
          <w:tcPr>
            <w:tcW w:w="1710" w:type="dxa"/>
            <w:tcBorders>
              <w:top w:val="single" w:sz="4" w:space="0" w:color="auto"/>
              <w:left w:val="nil"/>
              <w:bottom w:val="nil"/>
              <w:right w:val="nil"/>
            </w:tcBorders>
            <w:vAlign w:val="center"/>
          </w:tcPr>
          <w:p w14:paraId="7EDC5910" w14:textId="02F08EE6" w:rsidR="00C27A73" w:rsidRPr="008E36A4" w:rsidRDefault="006773E2" w:rsidP="00821D08">
            <w:pPr>
              <w:jc w:val="center"/>
            </w:pPr>
            <w:r>
              <w:t>105.54</w:t>
            </w:r>
            <w:r w:rsidR="00821D08">
              <w:t xml:space="preserve">, </w:t>
            </w:r>
            <w:r w:rsidR="00821D08" w:rsidRPr="00DF18D0">
              <w:rPr>
                <w:i/>
              </w:rPr>
              <w:t>p</w:t>
            </w:r>
            <w:r w:rsidR="00821D08">
              <w:t xml:space="preserve"> = .000</w:t>
            </w:r>
          </w:p>
        </w:tc>
        <w:tc>
          <w:tcPr>
            <w:tcW w:w="1350" w:type="dxa"/>
            <w:tcBorders>
              <w:top w:val="single" w:sz="4" w:space="0" w:color="auto"/>
              <w:left w:val="nil"/>
              <w:bottom w:val="nil"/>
              <w:right w:val="nil"/>
            </w:tcBorders>
            <w:vAlign w:val="center"/>
          </w:tcPr>
          <w:p w14:paraId="6651B219" w14:textId="77777777" w:rsidR="00C27A73" w:rsidRPr="008E36A4" w:rsidRDefault="00C27A73" w:rsidP="008C571D">
            <w:pPr>
              <w:jc w:val="center"/>
            </w:pPr>
            <w:r w:rsidRPr="008E36A4">
              <w:t>-.31 : -.04</w:t>
            </w:r>
          </w:p>
        </w:tc>
        <w:tc>
          <w:tcPr>
            <w:tcW w:w="1535" w:type="dxa"/>
            <w:tcBorders>
              <w:top w:val="single" w:sz="4" w:space="0" w:color="auto"/>
              <w:left w:val="nil"/>
              <w:bottom w:val="nil"/>
              <w:right w:val="nil"/>
            </w:tcBorders>
            <w:vAlign w:val="center"/>
          </w:tcPr>
          <w:p w14:paraId="672A4983" w14:textId="77777777" w:rsidR="00C27A73" w:rsidRPr="008E36A4" w:rsidRDefault="00C27A73" w:rsidP="008C571D">
            <w:pPr>
              <w:jc w:val="center"/>
            </w:pPr>
            <w:r w:rsidRPr="008E36A4">
              <w:t>-.17 : -.13</w:t>
            </w:r>
          </w:p>
        </w:tc>
      </w:tr>
      <w:tr w:rsidR="00C27A73" w:rsidRPr="008E36A4" w14:paraId="3A280645" w14:textId="77777777" w:rsidTr="00226AB0">
        <w:trPr>
          <w:trHeight w:val="245"/>
        </w:trPr>
        <w:tc>
          <w:tcPr>
            <w:tcW w:w="3144" w:type="dxa"/>
            <w:tcBorders>
              <w:top w:val="nil"/>
              <w:left w:val="nil"/>
              <w:bottom w:val="nil"/>
              <w:right w:val="nil"/>
            </w:tcBorders>
            <w:vAlign w:val="center"/>
          </w:tcPr>
          <w:p w14:paraId="7BB3BA8C" w14:textId="77777777" w:rsidR="00C27A73" w:rsidRPr="008E36A4" w:rsidRDefault="00C27A73" w:rsidP="008C571D">
            <w:r w:rsidRPr="008E36A4">
              <w:t xml:space="preserve">Low Labor Policy Integration </w:t>
            </w:r>
          </w:p>
          <w:p w14:paraId="39087C0E" w14:textId="77777777" w:rsidR="00C27A73" w:rsidRPr="008E36A4" w:rsidRDefault="00C27A73" w:rsidP="008C571D">
            <w:r w:rsidRPr="008E36A4">
              <w:t xml:space="preserve">   and Practice Enforcement</w:t>
            </w:r>
          </w:p>
        </w:tc>
        <w:tc>
          <w:tcPr>
            <w:tcW w:w="809" w:type="dxa"/>
            <w:tcBorders>
              <w:top w:val="nil"/>
              <w:left w:val="nil"/>
              <w:bottom w:val="nil"/>
              <w:right w:val="nil"/>
            </w:tcBorders>
            <w:vAlign w:val="center"/>
          </w:tcPr>
          <w:p w14:paraId="158BEDD8" w14:textId="77777777" w:rsidR="00C27A73" w:rsidRPr="008E36A4" w:rsidRDefault="00C27A73" w:rsidP="00933E3B">
            <w:pPr>
              <w:jc w:val="center"/>
            </w:pPr>
            <w:r w:rsidRPr="008E36A4">
              <w:t>21,820</w:t>
            </w:r>
          </w:p>
        </w:tc>
        <w:tc>
          <w:tcPr>
            <w:tcW w:w="594" w:type="dxa"/>
            <w:tcBorders>
              <w:top w:val="nil"/>
              <w:left w:val="nil"/>
              <w:bottom w:val="nil"/>
              <w:right w:val="nil"/>
            </w:tcBorders>
            <w:vAlign w:val="center"/>
          </w:tcPr>
          <w:p w14:paraId="34303942" w14:textId="77777777" w:rsidR="00C27A73" w:rsidRPr="008E36A4" w:rsidRDefault="00C27A73" w:rsidP="008C571D">
            <w:pPr>
              <w:jc w:val="center"/>
            </w:pPr>
            <w:r w:rsidRPr="008E36A4">
              <w:t>31</w:t>
            </w:r>
          </w:p>
        </w:tc>
        <w:tc>
          <w:tcPr>
            <w:tcW w:w="596" w:type="dxa"/>
            <w:tcBorders>
              <w:top w:val="nil"/>
              <w:left w:val="nil"/>
              <w:bottom w:val="nil"/>
              <w:right w:val="nil"/>
            </w:tcBorders>
            <w:vAlign w:val="center"/>
          </w:tcPr>
          <w:p w14:paraId="39115EE3" w14:textId="77777777" w:rsidR="00C27A73" w:rsidRPr="008E36A4" w:rsidRDefault="00C27A73" w:rsidP="00933E3B">
            <w:pPr>
              <w:jc w:val="center"/>
            </w:pPr>
            <w:r w:rsidRPr="008E36A4">
              <w:t>-.28</w:t>
            </w:r>
          </w:p>
        </w:tc>
        <w:tc>
          <w:tcPr>
            <w:tcW w:w="594" w:type="dxa"/>
            <w:tcBorders>
              <w:top w:val="nil"/>
              <w:left w:val="nil"/>
              <w:bottom w:val="nil"/>
              <w:right w:val="nil"/>
            </w:tcBorders>
            <w:vAlign w:val="center"/>
          </w:tcPr>
          <w:p w14:paraId="6A71EFFF" w14:textId="77777777" w:rsidR="00C27A73" w:rsidRPr="008E36A4" w:rsidRDefault="00C27A73" w:rsidP="008C571D">
            <w:pPr>
              <w:jc w:val="center"/>
            </w:pPr>
            <w:r w:rsidRPr="008E36A4">
              <w:t>-.34</w:t>
            </w:r>
          </w:p>
        </w:tc>
        <w:tc>
          <w:tcPr>
            <w:tcW w:w="594" w:type="dxa"/>
            <w:tcBorders>
              <w:top w:val="nil"/>
              <w:left w:val="nil"/>
              <w:bottom w:val="nil"/>
              <w:right w:val="nil"/>
            </w:tcBorders>
            <w:vAlign w:val="center"/>
          </w:tcPr>
          <w:p w14:paraId="3010F90E" w14:textId="77777777" w:rsidR="00C27A73" w:rsidRPr="008E36A4" w:rsidRDefault="00C27A73" w:rsidP="008C571D">
            <w:pPr>
              <w:jc w:val="center"/>
            </w:pPr>
            <w:r w:rsidRPr="008E36A4">
              <w:t>.023</w:t>
            </w:r>
          </w:p>
        </w:tc>
        <w:tc>
          <w:tcPr>
            <w:tcW w:w="594" w:type="dxa"/>
            <w:tcBorders>
              <w:top w:val="nil"/>
              <w:left w:val="nil"/>
              <w:bottom w:val="nil"/>
              <w:right w:val="nil"/>
            </w:tcBorders>
            <w:vAlign w:val="center"/>
          </w:tcPr>
          <w:p w14:paraId="162F6BC0" w14:textId="77777777" w:rsidR="00C27A73" w:rsidRPr="008E36A4" w:rsidRDefault="00C27A73" w:rsidP="008C571D">
            <w:pPr>
              <w:jc w:val="center"/>
            </w:pPr>
            <w:r w:rsidRPr="008E36A4">
              <w:t>.001</w:t>
            </w:r>
          </w:p>
        </w:tc>
        <w:tc>
          <w:tcPr>
            <w:tcW w:w="720" w:type="dxa"/>
            <w:tcBorders>
              <w:top w:val="nil"/>
              <w:left w:val="nil"/>
              <w:bottom w:val="nil"/>
              <w:right w:val="nil"/>
            </w:tcBorders>
            <w:vAlign w:val="center"/>
          </w:tcPr>
          <w:p w14:paraId="34455A2D" w14:textId="77777777" w:rsidR="00C27A73" w:rsidRPr="008E36A4" w:rsidRDefault="007307A7" w:rsidP="00933E3B">
            <w:pPr>
              <w:jc w:val="center"/>
            </w:pPr>
            <w:r>
              <w:t>.151</w:t>
            </w:r>
          </w:p>
        </w:tc>
        <w:tc>
          <w:tcPr>
            <w:tcW w:w="720" w:type="dxa"/>
            <w:tcBorders>
              <w:top w:val="nil"/>
              <w:left w:val="nil"/>
              <w:bottom w:val="nil"/>
              <w:right w:val="nil"/>
            </w:tcBorders>
            <w:vAlign w:val="center"/>
          </w:tcPr>
          <w:p w14:paraId="63A13761" w14:textId="77777777" w:rsidR="00C27A73" w:rsidRPr="008E36A4" w:rsidRDefault="00535B70" w:rsidP="00933E3B">
            <w:pPr>
              <w:jc w:val="center"/>
            </w:pPr>
            <w:r>
              <w:t>.173</w:t>
            </w:r>
          </w:p>
        </w:tc>
        <w:tc>
          <w:tcPr>
            <w:tcW w:w="1710" w:type="dxa"/>
            <w:tcBorders>
              <w:top w:val="nil"/>
              <w:left w:val="nil"/>
              <w:bottom w:val="nil"/>
              <w:right w:val="nil"/>
            </w:tcBorders>
            <w:vAlign w:val="center"/>
          </w:tcPr>
          <w:p w14:paraId="3AD66592" w14:textId="77777777" w:rsidR="00C27A73" w:rsidRPr="008E36A4" w:rsidRDefault="00C27A73" w:rsidP="00821D08">
            <w:pPr>
              <w:jc w:val="center"/>
            </w:pPr>
            <w:r w:rsidRPr="008E36A4">
              <w:t>492.86</w:t>
            </w:r>
            <w:r w:rsidR="00821D08">
              <w:t xml:space="preserve">, </w:t>
            </w:r>
            <w:r w:rsidR="00821D08" w:rsidRPr="00DF18D0">
              <w:rPr>
                <w:i/>
              </w:rPr>
              <w:t>p</w:t>
            </w:r>
            <w:r w:rsidR="00821D08">
              <w:t xml:space="preserve"> = .000</w:t>
            </w:r>
          </w:p>
        </w:tc>
        <w:tc>
          <w:tcPr>
            <w:tcW w:w="1350" w:type="dxa"/>
            <w:tcBorders>
              <w:top w:val="nil"/>
              <w:left w:val="nil"/>
              <w:bottom w:val="nil"/>
              <w:right w:val="nil"/>
            </w:tcBorders>
            <w:vAlign w:val="center"/>
          </w:tcPr>
          <w:p w14:paraId="4E036A01" w14:textId="77777777" w:rsidR="00C27A73" w:rsidRPr="008E36A4" w:rsidRDefault="00C27A73" w:rsidP="00933E3B">
            <w:pPr>
              <w:jc w:val="center"/>
            </w:pPr>
            <w:r w:rsidRPr="008E36A4">
              <w:t>-.56 : -.11</w:t>
            </w:r>
          </w:p>
        </w:tc>
        <w:tc>
          <w:tcPr>
            <w:tcW w:w="1535" w:type="dxa"/>
            <w:tcBorders>
              <w:top w:val="nil"/>
              <w:left w:val="nil"/>
              <w:bottom w:val="nil"/>
              <w:right w:val="nil"/>
            </w:tcBorders>
            <w:vAlign w:val="center"/>
          </w:tcPr>
          <w:p w14:paraId="74068BA4" w14:textId="77777777" w:rsidR="00C27A73" w:rsidRPr="008E36A4" w:rsidRDefault="00C27A73" w:rsidP="008C571D">
            <w:pPr>
              <w:jc w:val="center"/>
            </w:pPr>
            <w:r w:rsidRPr="008E36A4">
              <w:t>-.30 : -.27</w:t>
            </w:r>
          </w:p>
        </w:tc>
      </w:tr>
      <w:tr w:rsidR="008C571D" w:rsidRPr="00F31B3C" w14:paraId="1071E02B" w14:textId="77777777" w:rsidTr="008C571D">
        <w:trPr>
          <w:trHeight w:val="245"/>
        </w:trPr>
        <w:tc>
          <w:tcPr>
            <w:tcW w:w="12960" w:type="dxa"/>
            <w:gridSpan w:val="12"/>
            <w:tcBorders>
              <w:top w:val="single" w:sz="4" w:space="0" w:color="auto"/>
              <w:left w:val="nil"/>
              <w:bottom w:val="nil"/>
              <w:right w:val="nil"/>
            </w:tcBorders>
          </w:tcPr>
          <w:p w14:paraId="2C8549ED" w14:textId="77777777" w:rsidR="008C571D" w:rsidRPr="007C1078" w:rsidRDefault="008C571D" w:rsidP="008C571D">
            <w:pPr>
              <w:jc w:val="center"/>
              <w:rPr>
                <w:b/>
              </w:rPr>
            </w:pPr>
            <w:r w:rsidRPr="007C1078">
              <w:rPr>
                <w:b/>
              </w:rPr>
              <w:t>Physical Health Outcomes and Behaviors</w:t>
            </w:r>
          </w:p>
        </w:tc>
      </w:tr>
      <w:tr w:rsidR="00C27A73" w:rsidRPr="00F31B3C" w14:paraId="0EA8DF01" w14:textId="77777777" w:rsidTr="00226AB0">
        <w:trPr>
          <w:trHeight w:val="245"/>
        </w:trPr>
        <w:tc>
          <w:tcPr>
            <w:tcW w:w="3144" w:type="dxa"/>
            <w:tcBorders>
              <w:top w:val="single" w:sz="4" w:space="0" w:color="auto"/>
              <w:left w:val="nil"/>
              <w:bottom w:val="nil"/>
              <w:right w:val="nil"/>
            </w:tcBorders>
            <w:vAlign w:val="center"/>
          </w:tcPr>
          <w:p w14:paraId="7BB187A4" w14:textId="77777777" w:rsidR="00C27A73" w:rsidRDefault="00C27A73" w:rsidP="008C571D">
            <w:r w:rsidRPr="007C1078">
              <w:t xml:space="preserve">High Labor Policy Integration </w:t>
            </w:r>
          </w:p>
          <w:p w14:paraId="64AD9D5B" w14:textId="77777777" w:rsidR="00C27A73" w:rsidRPr="007C1078" w:rsidRDefault="00C27A73" w:rsidP="008C571D">
            <w:r>
              <w:t xml:space="preserve">   </w:t>
            </w:r>
            <w:r w:rsidRPr="007C1078">
              <w:t xml:space="preserve">and Practice Enforcement </w:t>
            </w:r>
            <w:r w:rsidRPr="007C1078">
              <w:rPr>
                <w:vertAlign w:val="superscript"/>
              </w:rPr>
              <w:t>1</w:t>
            </w:r>
          </w:p>
        </w:tc>
        <w:tc>
          <w:tcPr>
            <w:tcW w:w="809" w:type="dxa"/>
            <w:tcBorders>
              <w:top w:val="single" w:sz="4" w:space="0" w:color="auto"/>
              <w:left w:val="nil"/>
              <w:bottom w:val="nil"/>
              <w:right w:val="nil"/>
            </w:tcBorders>
            <w:vAlign w:val="center"/>
          </w:tcPr>
          <w:p w14:paraId="737A92C8" w14:textId="77777777" w:rsidR="00C27A73" w:rsidRPr="007C1078" w:rsidRDefault="00C27A73" w:rsidP="008C571D">
            <w:pPr>
              <w:jc w:val="center"/>
            </w:pPr>
            <w:r w:rsidRPr="007C1078">
              <w:t xml:space="preserve">  1,918</w:t>
            </w:r>
          </w:p>
        </w:tc>
        <w:tc>
          <w:tcPr>
            <w:tcW w:w="594" w:type="dxa"/>
            <w:tcBorders>
              <w:top w:val="single" w:sz="4" w:space="0" w:color="auto"/>
              <w:left w:val="nil"/>
              <w:bottom w:val="nil"/>
              <w:right w:val="nil"/>
            </w:tcBorders>
            <w:vAlign w:val="center"/>
          </w:tcPr>
          <w:p w14:paraId="405E03FC" w14:textId="77777777" w:rsidR="00C27A73" w:rsidRPr="007C1078" w:rsidRDefault="00C27A73" w:rsidP="008C571D">
            <w:pPr>
              <w:jc w:val="center"/>
            </w:pPr>
            <w:r w:rsidRPr="007C1078">
              <w:t>2</w:t>
            </w:r>
          </w:p>
        </w:tc>
        <w:tc>
          <w:tcPr>
            <w:tcW w:w="596" w:type="dxa"/>
            <w:tcBorders>
              <w:top w:val="single" w:sz="4" w:space="0" w:color="auto"/>
              <w:left w:val="nil"/>
              <w:bottom w:val="nil"/>
              <w:right w:val="nil"/>
            </w:tcBorders>
            <w:vAlign w:val="center"/>
          </w:tcPr>
          <w:p w14:paraId="71CBA1CD" w14:textId="77777777" w:rsidR="00C27A73" w:rsidRPr="007C1078" w:rsidRDefault="00C27A73" w:rsidP="008C571D">
            <w:pPr>
              <w:jc w:val="center"/>
            </w:pPr>
            <w:r w:rsidRPr="007C1078">
              <w:t>-.26</w:t>
            </w:r>
          </w:p>
        </w:tc>
        <w:tc>
          <w:tcPr>
            <w:tcW w:w="594" w:type="dxa"/>
            <w:tcBorders>
              <w:top w:val="single" w:sz="4" w:space="0" w:color="auto"/>
              <w:left w:val="nil"/>
              <w:bottom w:val="nil"/>
              <w:right w:val="nil"/>
            </w:tcBorders>
            <w:vAlign w:val="center"/>
          </w:tcPr>
          <w:p w14:paraId="2C0B2BB6" w14:textId="77777777" w:rsidR="00C27A73" w:rsidRPr="007C1078" w:rsidRDefault="00C27A73" w:rsidP="008C571D">
            <w:pPr>
              <w:jc w:val="center"/>
            </w:pPr>
            <w:r w:rsidRPr="007C1078">
              <w:t>-.31</w:t>
            </w:r>
          </w:p>
        </w:tc>
        <w:tc>
          <w:tcPr>
            <w:tcW w:w="594" w:type="dxa"/>
            <w:tcBorders>
              <w:top w:val="single" w:sz="4" w:space="0" w:color="auto"/>
              <w:left w:val="nil"/>
              <w:bottom w:val="nil"/>
              <w:right w:val="nil"/>
            </w:tcBorders>
            <w:vAlign w:val="center"/>
          </w:tcPr>
          <w:p w14:paraId="4398B0DF" w14:textId="77777777" w:rsidR="00C27A73" w:rsidRPr="007C1078" w:rsidRDefault="00C27A73" w:rsidP="008C571D">
            <w:pPr>
              <w:jc w:val="center"/>
            </w:pPr>
            <w:r w:rsidRPr="007C1078">
              <w:t>.000</w:t>
            </w:r>
          </w:p>
        </w:tc>
        <w:tc>
          <w:tcPr>
            <w:tcW w:w="594" w:type="dxa"/>
            <w:tcBorders>
              <w:top w:val="single" w:sz="4" w:space="0" w:color="auto"/>
              <w:left w:val="nil"/>
              <w:bottom w:val="nil"/>
              <w:right w:val="nil"/>
            </w:tcBorders>
            <w:vAlign w:val="center"/>
          </w:tcPr>
          <w:p w14:paraId="53C626FD" w14:textId="77777777" w:rsidR="00C27A73" w:rsidRPr="007C1078" w:rsidRDefault="00C27A73" w:rsidP="008C571D">
            <w:pPr>
              <w:jc w:val="center"/>
            </w:pPr>
            <w:r w:rsidRPr="007C1078">
              <w:t>.001</w:t>
            </w:r>
          </w:p>
        </w:tc>
        <w:tc>
          <w:tcPr>
            <w:tcW w:w="720" w:type="dxa"/>
            <w:tcBorders>
              <w:top w:val="single" w:sz="4" w:space="0" w:color="auto"/>
              <w:left w:val="nil"/>
              <w:bottom w:val="nil"/>
              <w:right w:val="nil"/>
            </w:tcBorders>
            <w:vAlign w:val="center"/>
          </w:tcPr>
          <w:p w14:paraId="73D298CA" w14:textId="77777777" w:rsidR="00C27A73" w:rsidRPr="007C1078" w:rsidRDefault="00827E16" w:rsidP="008C571D">
            <w:pPr>
              <w:jc w:val="center"/>
            </w:pPr>
            <w:r>
              <w:t>.017</w:t>
            </w:r>
          </w:p>
        </w:tc>
        <w:tc>
          <w:tcPr>
            <w:tcW w:w="720" w:type="dxa"/>
            <w:tcBorders>
              <w:top w:val="single" w:sz="4" w:space="0" w:color="auto"/>
              <w:left w:val="nil"/>
              <w:bottom w:val="nil"/>
              <w:right w:val="nil"/>
            </w:tcBorders>
            <w:vAlign w:val="center"/>
          </w:tcPr>
          <w:p w14:paraId="713C7843" w14:textId="77777777" w:rsidR="00C27A73" w:rsidRPr="007C1078" w:rsidRDefault="00827E16" w:rsidP="008C571D">
            <w:pPr>
              <w:jc w:val="center"/>
            </w:pPr>
            <w:r>
              <w:t>.000</w:t>
            </w:r>
          </w:p>
        </w:tc>
        <w:tc>
          <w:tcPr>
            <w:tcW w:w="1710" w:type="dxa"/>
            <w:tcBorders>
              <w:top w:val="single" w:sz="4" w:space="0" w:color="auto"/>
              <w:left w:val="nil"/>
              <w:bottom w:val="nil"/>
              <w:right w:val="nil"/>
            </w:tcBorders>
            <w:vAlign w:val="center"/>
          </w:tcPr>
          <w:p w14:paraId="37DE9E59" w14:textId="7CD2CD68" w:rsidR="00C27A73" w:rsidRPr="007C1078" w:rsidRDefault="00C27A73" w:rsidP="00FA739B">
            <w:pPr>
              <w:jc w:val="center"/>
            </w:pPr>
            <w:r w:rsidRPr="007C1078">
              <w:t>.</w:t>
            </w:r>
            <w:r w:rsidR="00FA739B">
              <w:t>49</w:t>
            </w:r>
            <w:r w:rsidR="00226AB0">
              <w:t xml:space="preserve">, </w:t>
            </w:r>
            <w:r w:rsidR="00226AB0" w:rsidRPr="00DF18D0">
              <w:rPr>
                <w:i/>
              </w:rPr>
              <w:t>p</w:t>
            </w:r>
            <w:r w:rsidR="00226AB0">
              <w:t xml:space="preserve"> = </w:t>
            </w:r>
            <w:r w:rsidR="00FA739B">
              <w:t>.483</w:t>
            </w:r>
          </w:p>
        </w:tc>
        <w:tc>
          <w:tcPr>
            <w:tcW w:w="1350" w:type="dxa"/>
            <w:tcBorders>
              <w:top w:val="single" w:sz="4" w:space="0" w:color="auto"/>
              <w:left w:val="nil"/>
              <w:bottom w:val="nil"/>
              <w:right w:val="nil"/>
            </w:tcBorders>
            <w:vAlign w:val="center"/>
          </w:tcPr>
          <w:p w14:paraId="726D877B" w14:textId="380DFECC" w:rsidR="00C27A73" w:rsidRPr="007C1078" w:rsidRDefault="00C27A73" w:rsidP="008C571D">
            <w:pPr>
              <w:jc w:val="center"/>
            </w:pPr>
            <w:r w:rsidRPr="007C1078">
              <w:t>-.31 : -.31</w:t>
            </w:r>
            <w:r w:rsidR="00F77AB7" w:rsidRPr="00431AD3">
              <w:rPr>
                <w:vertAlign w:val="superscript"/>
              </w:rPr>
              <w:t>2</w:t>
            </w:r>
          </w:p>
        </w:tc>
        <w:tc>
          <w:tcPr>
            <w:tcW w:w="1535" w:type="dxa"/>
            <w:tcBorders>
              <w:top w:val="single" w:sz="4" w:space="0" w:color="auto"/>
              <w:left w:val="nil"/>
              <w:bottom w:val="nil"/>
              <w:right w:val="nil"/>
            </w:tcBorders>
            <w:vAlign w:val="center"/>
          </w:tcPr>
          <w:p w14:paraId="6EF38100" w14:textId="77777777" w:rsidR="00C27A73" w:rsidRPr="007C1078" w:rsidRDefault="00C27A73" w:rsidP="008C571D">
            <w:pPr>
              <w:jc w:val="center"/>
            </w:pPr>
            <w:r w:rsidRPr="007C1078">
              <w:t>-.30 : -.21</w:t>
            </w:r>
          </w:p>
        </w:tc>
      </w:tr>
      <w:tr w:rsidR="00C27A73" w:rsidRPr="00F807A9" w14:paraId="4CDB7732" w14:textId="77777777" w:rsidTr="00226AB0">
        <w:trPr>
          <w:trHeight w:val="245"/>
        </w:trPr>
        <w:tc>
          <w:tcPr>
            <w:tcW w:w="3144" w:type="dxa"/>
            <w:tcBorders>
              <w:top w:val="nil"/>
              <w:left w:val="nil"/>
              <w:bottom w:val="nil"/>
              <w:right w:val="nil"/>
            </w:tcBorders>
            <w:vAlign w:val="center"/>
          </w:tcPr>
          <w:p w14:paraId="7F7FE288" w14:textId="77777777" w:rsidR="00C27A73" w:rsidRDefault="00C27A73" w:rsidP="008C571D">
            <w:r w:rsidRPr="007C1078">
              <w:t xml:space="preserve">Low Labor Policy Integration </w:t>
            </w:r>
          </w:p>
          <w:p w14:paraId="68226BF2" w14:textId="77777777" w:rsidR="00C27A73" w:rsidRPr="007C1078" w:rsidRDefault="00C27A73" w:rsidP="008C571D">
            <w:r>
              <w:t xml:space="preserve">   </w:t>
            </w:r>
            <w:r w:rsidRPr="007C1078">
              <w:t>and Practice Enforcement</w:t>
            </w:r>
          </w:p>
        </w:tc>
        <w:tc>
          <w:tcPr>
            <w:tcW w:w="809" w:type="dxa"/>
            <w:tcBorders>
              <w:top w:val="nil"/>
              <w:left w:val="nil"/>
              <w:bottom w:val="nil"/>
              <w:right w:val="nil"/>
            </w:tcBorders>
            <w:vAlign w:val="center"/>
          </w:tcPr>
          <w:p w14:paraId="0B941C87" w14:textId="77777777" w:rsidR="00C27A73" w:rsidRPr="007C1078" w:rsidRDefault="00C27A73" w:rsidP="008C571D">
            <w:pPr>
              <w:jc w:val="center"/>
            </w:pPr>
            <w:r w:rsidRPr="007C1078">
              <w:t>13,307</w:t>
            </w:r>
          </w:p>
        </w:tc>
        <w:tc>
          <w:tcPr>
            <w:tcW w:w="594" w:type="dxa"/>
            <w:tcBorders>
              <w:top w:val="nil"/>
              <w:left w:val="nil"/>
              <w:bottom w:val="nil"/>
              <w:right w:val="nil"/>
            </w:tcBorders>
            <w:vAlign w:val="center"/>
          </w:tcPr>
          <w:p w14:paraId="4C1712F3" w14:textId="77777777" w:rsidR="00C27A73" w:rsidRPr="007C1078" w:rsidRDefault="00C27A73" w:rsidP="008C571D">
            <w:pPr>
              <w:jc w:val="center"/>
            </w:pPr>
            <w:r w:rsidRPr="007C1078">
              <w:t>9</w:t>
            </w:r>
          </w:p>
        </w:tc>
        <w:tc>
          <w:tcPr>
            <w:tcW w:w="596" w:type="dxa"/>
            <w:tcBorders>
              <w:top w:val="nil"/>
              <w:left w:val="nil"/>
              <w:bottom w:val="nil"/>
              <w:right w:val="nil"/>
            </w:tcBorders>
            <w:vAlign w:val="center"/>
          </w:tcPr>
          <w:p w14:paraId="2C3EDF0D" w14:textId="77777777" w:rsidR="00C27A73" w:rsidRPr="007C1078" w:rsidRDefault="00C27A73" w:rsidP="008C571D">
            <w:pPr>
              <w:jc w:val="center"/>
            </w:pPr>
            <w:r w:rsidRPr="007C1078">
              <w:t>-.14</w:t>
            </w:r>
          </w:p>
        </w:tc>
        <w:tc>
          <w:tcPr>
            <w:tcW w:w="594" w:type="dxa"/>
            <w:tcBorders>
              <w:top w:val="nil"/>
              <w:left w:val="nil"/>
              <w:bottom w:val="nil"/>
              <w:right w:val="nil"/>
            </w:tcBorders>
            <w:vAlign w:val="center"/>
          </w:tcPr>
          <w:p w14:paraId="02FFC959" w14:textId="77777777" w:rsidR="00C27A73" w:rsidRPr="007C1078" w:rsidRDefault="00C27A73" w:rsidP="008C571D">
            <w:pPr>
              <w:jc w:val="center"/>
            </w:pPr>
            <w:r w:rsidRPr="007C1078">
              <w:t>-.17</w:t>
            </w:r>
          </w:p>
        </w:tc>
        <w:tc>
          <w:tcPr>
            <w:tcW w:w="594" w:type="dxa"/>
            <w:tcBorders>
              <w:top w:val="nil"/>
              <w:left w:val="nil"/>
              <w:bottom w:val="nil"/>
              <w:right w:val="nil"/>
            </w:tcBorders>
            <w:vAlign w:val="center"/>
          </w:tcPr>
          <w:p w14:paraId="29DC03B8" w14:textId="77777777" w:rsidR="00C27A73" w:rsidRPr="007C1078" w:rsidRDefault="00C27A73" w:rsidP="008C571D">
            <w:pPr>
              <w:jc w:val="center"/>
            </w:pPr>
            <w:r w:rsidRPr="007C1078">
              <w:t>.003</w:t>
            </w:r>
          </w:p>
        </w:tc>
        <w:tc>
          <w:tcPr>
            <w:tcW w:w="594" w:type="dxa"/>
            <w:tcBorders>
              <w:top w:val="nil"/>
              <w:left w:val="nil"/>
              <w:bottom w:val="nil"/>
              <w:right w:val="nil"/>
            </w:tcBorders>
            <w:vAlign w:val="center"/>
          </w:tcPr>
          <w:p w14:paraId="78878003" w14:textId="77777777" w:rsidR="00C27A73" w:rsidRPr="007C1078" w:rsidRDefault="00C27A73" w:rsidP="008C571D">
            <w:pPr>
              <w:jc w:val="center"/>
            </w:pPr>
            <w:r w:rsidRPr="007C1078">
              <w:t>.001</w:t>
            </w:r>
          </w:p>
        </w:tc>
        <w:tc>
          <w:tcPr>
            <w:tcW w:w="720" w:type="dxa"/>
            <w:tcBorders>
              <w:top w:val="nil"/>
              <w:left w:val="nil"/>
              <w:bottom w:val="nil"/>
              <w:right w:val="nil"/>
            </w:tcBorders>
            <w:vAlign w:val="center"/>
          </w:tcPr>
          <w:p w14:paraId="0146DF97" w14:textId="77777777" w:rsidR="00C27A73" w:rsidRPr="007C1078" w:rsidRDefault="00827E16" w:rsidP="008C571D">
            <w:pPr>
              <w:jc w:val="center"/>
            </w:pPr>
            <w:r>
              <w:t>.051</w:t>
            </w:r>
          </w:p>
        </w:tc>
        <w:tc>
          <w:tcPr>
            <w:tcW w:w="720" w:type="dxa"/>
            <w:tcBorders>
              <w:top w:val="nil"/>
              <w:left w:val="nil"/>
              <w:bottom w:val="nil"/>
              <w:right w:val="nil"/>
            </w:tcBorders>
            <w:vAlign w:val="center"/>
          </w:tcPr>
          <w:p w14:paraId="16FC57EF" w14:textId="77777777" w:rsidR="00C27A73" w:rsidRPr="007C1078" w:rsidRDefault="00827E16" w:rsidP="008C571D">
            <w:pPr>
              <w:jc w:val="center"/>
            </w:pPr>
            <w:r>
              <w:t>.052</w:t>
            </w:r>
          </w:p>
        </w:tc>
        <w:tc>
          <w:tcPr>
            <w:tcW w:w="1710" w:type="dxa"/>
            <w:tcBorders>
              <w:top w:val="nil"/>
              <w:left w:val="nil"/>
              <w:bottom w:val="nil"/>
              <w:right w:val="nil"/>
            </w:tcBorders>
            <w:vAlign w:val="center"/>
          </w:tcPr>
          <w:p w14:paraId="69C62884" w14:textId="6079C389" w:rsidR="00C27A73" w:rsidRPr="007C1078" w:rsidRDefault="00206498" w:rsidP="00821D08">
            <w:pPr>
              <w:jc w:val="center"/>
            </w:pPr>
            <w:r>
              <w:t>32.32</w:t>
            </w:r>
            <w:r w:rsidR="00821D08">
              <w:t xml:space="preserve">, </w:t>
            </w:r>
            <w:r w:rsidR="00821D08" w:rsidRPr="00DF18D0">
              <w:rPr>
                <w:i/>
              </w:rPr>
              <w:t>p</w:t>
            </w:r>
            <w:r w:rsidR="00821D08">
              <w:t xml:space="preserve"> = .000</w:t>
            </w:r>
          </w:p>
        </w:tc>
        <w:tc>
          <w:tcPr>
            <w:tcW w:w="1350" w:type="dxa"/>
            <w:tcBorders>
              <w:top w:val="nil"/>
              <w:left w:val="nil"/>
              <w:bottom w:val="nil"/>
              <w:right w:val="nil"/>
            </w:tcBorders>
            <w:vAlign w:val="center"/>
          </w:tcPr>
          <w:p w14:paraId="720D3A3C" w14:textId="77777777" w:rsidR="00C27A73" w:rsidRPr="007C1078" w:rsidRDefault="00C27A73" w:rsidP="008C571D">
            <w:pPr>
              <w:jc w:val="center"/>
            </w:pPr>
            <w:r w:rsidRPr="007C1078">
              <w:t>-.24 : -.11</w:t>
            </w:r>
          </w:p>
        </w:tc>
        <w:tc>
          <w:tcPr>
            <w:tcW w:w="1535" w:type="dxa"/>
            <w:tcBorders>
              <w:top w:val="nil"/>
              <w:left w:val="nil"/>
              <w:bottom w:val="nil"/>
              <w:right w:val="nil"/>
            </w:tcBorders>
            <w:vAlign w:val="center"/>
          </w:tcPr>
          <w:p w14:paraId="00801613" w14:textId="77777777" w:rsidR="00C27A73" w:rsidRPr="007C1078" w:rsidRDefault="00C27A73" w:rsidP="008C571D">
            <w:pPr>
              <w:jc w:val="center"/>
            </w:pPr>
            <w:r w:rsidRPr="007C1078">
              <w:t>-.16 : -.13</w:t>
            </w:r>
          </w:p>
        </w:tc>
      </w:tr>
      <w:tr w:rsidR="008C571D" w:rsidRPr="00DD5BBF" w14:paraId="2052F77E" w14:textId="77777777" w:rsidTr="008C571D">
        <w:trPr>
          <w:trHeight w:val="245"/>
        </w:trPr>
        <w:tc>
          <w:tcPr>
            <w:tcW w:w="12960" w:type="dxa"/>
            <w:gridSpan w:val="12"/>
            <w:tcBorders>
              <w:top w:val="single" w:sz="4" w:space="0" w:color="auto"/>
              <w:left w:val="nil"/>
              <w:bottom w:val="nil"/>
              <w:right w:val="nil"/>
            </w:tcBorders>
          </w:tcPr>
          <w:p w14:paraId="1A789E05" w14:textId="77777777" w:rsidR="008C571D" w:rsidRPr="007C1078" w:rsidRDefault="008C571D" w:rsidP="008C571D">
            <w:pPr>
              <w:jc w:val="center"/>
              <w:rPr>
                <w:b/>
              </w:rPr>
            </w:pPr>
            <w:r w:rsidRPr="007C1078">
              <w:rPr>
                <w:b/>
              </w:rPr>
              <w:t>Psychological Health</w:t>
            </w:r>
          </w:p>
        </w:tc>
      </w:tr>
      <w:tr w:rsidR="00C27A73" w:rsidRPr="00DD5BBF" w14:paraId="06B073BF" w14:textId="77777777" w:rsidTr="00226AB0">
        <w:trPr>
          <w:trHeight w:val="245"/>
        </w:trPr>
        <w:tc>
          <w:tcPr>
            <w:tcW w:w="3144" w:type="dxa"/>
            <w:tcBorders>
              <w:top w:val="single" w:sz="4" w:space="0" w:color="auto"/>
              <w:left w:val="nil"/>
              <w:bottom w:val="nil"/>
              <w:right w:val="nil"/>
            </w:tcBorders>
            <w:vAlign w:val="center"/>
          </w:tcPr>
          <w:p w14:paraId="29ED4FCD" w14:textId="77777777" w:rsidR="00C27A73" w:rsidRDefault="00C27A73" w:rsidP="008C571D">
            <w:r w:rsidRPr="007C1078">
              <w:t xml:space="preserve">High Labor Policy Integration </w:t>
            </w:r>
          </w:p>
          <w:p w14:paraId="101B39B3" w14:textId="77777777" w:rsidR="00C27A73" w:rsidRPr="007C1078" w:rsidRDefault="00C27A73" w:rsidP="008C571D">
            <w:r>
              <w:t xml:space="preserve">   </w:t>
            </w:r>
            <w:r w:rsidRPr="007C1078">
              <w:t xml:space="preserve">and Practice Enforcement </w:t>
            </w:r>
            <w:r w:rsidRPr="007C1078">
              <w:rPr>
                <w:vertAlign w:val="superscript"/>
              </w:rPr>
              <w:t>1</w:t>
            </w:r>
          </w:p>
        </w:tc>
        <w:tc>
          <w:tcPr>
            <w:tcW w:w="809" w:type="dxa"/>
            <w:tcBorders>
              <w:top w:val="single" w:sz="4" w:space="0" w:color="auto"/>
              <w:left w:val="nil"/>
              <w:bottom w:val="nil"/>
              <w:right w:val="nil"/>
            </w:tcBorders>
            <w:vAlign w:val="center"/>
          </w:tcPr>
          <w:p w14:paraId="7F8153C7" w14:textId="77777777" w:rsidR="00C27A73" w:rsidRPr="007C1078" w:rsidRDefault="00C27A73" w:rsidP="008C571D">
            <w:pPr>
              <w:jc w:val="center"/>
            </w:pPr>
            <w:r w:rsidRPr="007C1078">
              <w:t>10,292</w:t>
            </w:r>
          </w:p>
        </w:tc>
        <w:tc>
          <w:tcPr>
            <w:tcW w:w="594" w:type="dxa"/>
            <w:tcBorders>
              <w:top w:val="single" w:sz="4" w:space="0" w:color="auto"/>
              <w:left w:val="nil"/>
              <w:bottom w:val="nil"/>
              <w:right w:val="nil"/>
            </w:tcBorders>
            <w:vAlign w:val="center"/>
          </w:tcPr>
          <w:p w14:paraId="1F77EBA3" w14:textId="77777777" w:rsidR="00C27A73" w:rsidRPr="007C1078" w:rsidRDefault="00C27A73" w:rsidP="008C571D">
            <w:pPr>
              <w:jc w:val="center"/>
            </w:pPr>
            <w:r w:rsidRPr="007C1078">
              <w:t>3</w:t>
            </w:r>
          </w:p>
        </w:tc>
        <w:tc>
          <w:tcPr>
            <w:tcW w:w="596" w:type="dxa"/>
            <w:tcBorders>
              <w:top w:val="single" w:sz="4" w:space="0" w:color="auto"/>
              <w:left w:val="nil"/>
              <w:bottom w:val="nil"/>
              <w:right w:val="nil"/>
            </w:tcBorders>
            <w:vAlign w:val="center"/>
          </w:tcPr>
          <w:p w14:paraId="569786E2" w14:textId="77777777" w:rsidR="00C27A73" w:rsidRPr="007C1078" w:rsidRDefault="00C27A73" w:rsidP="008C571D">
            <w:pPr>
              <w:jc w:val="center"/>
            </w:pPr>
            <w:r w:rsidRPr="007C1078">
              <w:t>-.06</w:t>
            </w:r>
          </w:p>
        </w:tc>
        <w:tc>
          <w:tcPr>
            <w:tcW w:w="594" w:type="dxa"/>
            <w:tcBorders>
              <w:top w:val="single" w:sz="4" w:space="0" w:color="auto"/>
              <w:left w:val="nil"/>
              <w:bottom w:val="nil"/>
              <w:right w:val="nil"/>
            </w:tcBorders>
            <w:vAlign w:val="center"/>
          </w:tcPr>
          <w:p w14:paraId="0E1E6E90" w14:textId="77777777" w:rsidR="00C27A73" w:rsidRPr="007C1078" w:rsidRDefault="00C27A73" w:rsidP="008C571D">
            <w:pPr>
              <w:jc w:val="center"/>
            </w:pPr>
            <w:r w:rsidRPr="007C1078">
              <w:t>-.07</w:t>
            </w:r>
          </w:p>
        </w:tc>
        <w:tc>
          <w:tcPr>
            <w:tcW w:w="594" w:type="dxa"/>
            <w:tcBorders>
              <w:top w:val="single" w:sz="4" w:space="0" w:color="auto"/>
              <w:left w:val="nil"/>
              <w:bottom w:val="nil"/>
              <w:right w:val="nil"/>
            </w:tcBorders>
            <w:vAlign w:val="center"/>
          </w:tcPr>
          <w:p w14:paraId="4084315A" w14:textId="77777777" w:rsidR="00C27A73" w:rsidRPr="007C1078" w:rsidRDefault="00C27A73" w:rsidP="008C571D">
            <w:pPr>
              <w:jc w:val="center"/>
            </w:pPr>
            <w:r w:rsidRPr="007C1078">
              <w:t>.001</w:t>
            </w:r>
          </w:p>
        </w:tc>
        <w:tc>
          <w:tcPr>
            <w:tcW w:w="594" w:type="dxa"/>
            <w:tcBorders>
              <w:top w:val="single" w:sz="4" w:space="0" w:color="auto"/>
              <w:left w:val="nil"/>
              <w:bottom w:val="nil"/>
              <w:right w:val="nil"/>
            </w:tcBorders>
            <w:vAlign w:val="center"/>
          </w:tcPr>
          <w:p w14:paraId="2A661586" w14:textId="77777777" w:rsidR="00C27A73" w:rsidRPr="007C1078" w:rsidRDefault="00C27A73" w:rsidP="008C571D">
            <w:pPr>
              <w:jc w:val="center"/>
            </w:pPr>
            <w:r w:rsidRPr="007C1078">
              <w:t>.000</w:t>
            </w:r>
          </w:p>
        </w:tc>
        <w:tc>
          <w:tcPr>
            <w:tcW w:w="720" w:type="dxa"/>
            <w:tcBorders>
              <w:top w:val="single" w:sz="4" w:space="0" w:color="auto"/>
              <w:left w:val="nil"/>
              <w:bottom w:val="nil"/>
              <w:right w:val="nil"/>
            </w:tcBorders>
            <w:vAlign w:val="center"/>
          </w:tcPr>
          <w:p w14:paraId="295488A1" w14:textId="77777777" w:rsidR="00C27A73" w:rsidRPr="007C1078" w:rsidRDefault="00514587" w:rsidP="008C571D">
            <w:pPr>
              <w:jc w:val="center"/>
            </w:pPr>
            <w:r>
              <w:t>.036</w:t>
            </w:r>
          </w:p>
        </w:tc>
        <w:tc>
          <w:tcPr>
            <w:tcW w:w="720" w:type="dxa"/>
            <w:tcBorders>
              <w:top w:val="single" w:sz="4" w:space="0" w:color="auto"/>
              <w:left w:val="nil"/>
              <w:bottom w:val="nil"/>
              <w:right w:val="nil"/>
            </w:tcBorders>
            <w:vAlign w:val="center"/>
          </w:tcPr>
          <w:p w14:paraId="2B0A3EE3" w14:textId="77777777" w:rsidR="00C27A73" w:rsidRPr="007C1078" w:rsidRDefault="00514587" w:rsidP="008C571D">
            <w:pPr>
              <w:jc w:val="center"/>
            </w:pPr>
            <w:r>
              <w:t>.038</w:t>
            </w:r>
          </w:p>
        </w:tc>
        <w:tc>
          <w:tcPr>
            <w:tcW w:w="1710" w:type="dxa"/>
            <w:tcBorders>
              <w:top w:val="single" w:sz="4" w:space="0" w:color="auto"/>
              <w:left w:val="nil"/>
              <w:bottom w:val="nil"/>
              <w:right w:val="nil"/>
            </w:tcBorders>
            <w:vAlign w:val="center"/>
          </w:tcPr>
          <w:p w14:paraId="431B5F5C" w14:textId="3632FD6C" w:rsidR="00C27A73" w:rsidRPr="007C1078" w:rsidRDefault="00D23DEC" w:rsidP="00226AB0">
            <w:pPr>
              <w:jc w:val="center"/>
            </w:pPr>
            <w:r>
              <w:t>12.74</w:t>
            </w:r>
            <w:r w:rsidR="00226AB0">
              <w:t xml:space="preserve">, </w:t>
            </w:r>
            <w:r w:rsidR="00226AB0" w:rsidRPr="00DF18D0">
              <w:rPr>
                <w:i/>
              </w:rPr>
              <w:t>p</w:t>
            </w:r>
            <w:r w:rsidR="00226AB0">
              <w:t xml:space="preserve"> = .001</w:t>
            </w:r>
          </w:p>
        </w:tc>
        <w:tc>
          <w:tcPr>
            <w:tcW w:w="1350" w:type="dxa"/>
            <w:tcBorders>
              <w:top w:val="single" w:sz="4" w:space="0" w:color="auto"/>
              <w:left w:val="nil"/>
              <w:bottom w:val="nil"/>
              <w:right w:val="nil"/>
            </w:tcBorders>
            <w:vAlign w:val="center"/>
          </w:tcPr>
          <w:p w14:paraId="0C261E8C" w14:textId="77777777" w:rsidR="00C27A73" w:rsidRPr="007C1078" w:rsidRDefault="00C27A73" w:rsidP="008C571D">
            <w:pPr>
              <w:jc w:val="center"/>
            </w:pPr>
            <w:r w:rsidRPr="007C1078">
              <w:t>-.12 : -.02</w:t>
            </w:r>
          </w:p>
        </w:tc>
        <w:tc>
          <w:tcPr>
            <w:tcW w:w="1535" w:type="dxa"/>
            <w:tcBorders>
              <w:top w:val="single" w:sz="4" w:space="0" w:color="auto"/>
              <w:left w:val="nil"/>
              <w:bottom w:val="nil"/>
              <w:right w:val="nil"/>
            </w:tcBorders>
            <w:vAlign w:val="center"/>
          </w:tcPr>
          <w:p w14:paraId="2D6E9755" w14:textId="4B01FCA4" w:rsidR="00C27A73" w:rsidRPr="007C1078" w:rsidRDefault="004C4B6A" w:rsidP="008C571D">
            <w:pPr>
              <w:jc w:val="center"/>
            </w:pPr>
            <w:r>
              <w:t>-.08</w:t>
            </w:r>
            <w:r w:rsidR="00C27A73" w:rsidRPr="007C1078">
              <w:t xml:space="preserve"> : -.04</w:t>
            </w:r>
          </w:p>
        </w:tc>
      </w:tr>
      <w:tr w:rsidR="00C27A73" w:rsidRPr="00DD5BBF" w14:paraId="39241AAB" w14:textId="77777777" w:rsidTr="00226AB0">
        <w:trPr>
          <w:trHeight w:val="245"/>
        </w:trPr>
        <w:tc>
          <w:tcPr>
            <w:tcW w:w="3144" w:type="dxa"/>
            <w:tcBorders>
              <w:top w:val="nil"/>
              <w:left w:val="nil"/>
              <w:bottom w:val="nil"/>
              <w:right w:val="nil"/>
            </w:tcBorders>
            <w:vAlign w:val="center"/>
          </w:tcPr>
          <w:p w14:paraId="3A550E06" w14:textId="77777777" w:rsidR="00C27A73" w:rsidRDefault="00C27A73" w:rsidP="008C571D">
            <w:r w:rsidRPr="007C1078">
              <w:t xml:space="preserve">Low Labor Policy Integration </w:t>
            </w:r>
          </w:p>
          <w:p w14:paraId="6C07D963" w14:textId="77777777" w:rsidR="00C27A73" w:rsidRPr="007C1078" w:rsidRDefault="00C27A73" w:rsidP="008C571D">
            <w:r>
              <w:t xml:space="preserve">   </w:t>
            </w:r>
            <w:r w:rsidRPr="007C1078">
              <w:t>and Practice Enforcement</w:t>
            </w:r>
          </w:p>
        </w:tc>
        <w:tc>
          <w:tcPr>
            <w:tcW w:w="809" w:type="dxa"/>
            <w:tcBorders>
              <w:top w:val="nil"/>
              <w:left w:val="nil"/>
              <w:bottom w:val="nil"/>
              <w:right w:val="nil"/>
            </w:tcBorders>
            <w:vAlign w:val="center"/>
          </w:tcPr>
          <w:p w14:paraId="042BA9AC" w14:textId="77777777" w:rsidR="00C27A73" w:rsidRPr="007C1078" w:rsidRDefault="00C27A73" w:rsidP="008C571D">
            <w:pPr>
              <w:jc w:val="center"/>
            </w:pPr>
            <w:r w:rsidRPr="007C1078">
              <w:t>17,299</w:t>
            </w:r>
          </w:p>
        </w:tc>
        <w:tc>
          <w:tcPr>
            <w:tcW w:w="594" w:type="dxa"/>
            <w:tcBorders>
              <w:top w:val="nil"/>
              <w:left w:val="nil"/>
              <w:bottom w:val="nil"/>
              <w:right w:val="nil"/>
            </w:tcBorders>
            <w:vAlign w:val="center"/>
          </w:tcPr>
          <w:p w14:paraId="1A18E4F5" w14:textId="77777777" w:rsidR="00C27A73" w:rsidRPr="007C1078" w:rsidRDefault="00C27A73" w:rsidP="008C571D">
            <w:pPr>
              <w:jc w:val="center"/>
            </w:pPr>
            <w:r w:rsidRPr="007C1078">
              <w:t>15</w:t>
            </w:r>
          </w:p>
        </w:tc>
        <w:tc>
          <w:tcPr>
            <w:tcW w:w="596" w:type="dxa"/>
            <w:tcBorders>
              <w:top w:val="nil"/>
              <w:left w:val="nil"/>
              <w:bottom w:val="nil"/>
              <w:right w:val="nil"/>
            </w:tcBorders>
            <w:vAlign w:val="center"/>
          </w:tcPr>
          <w:p w14:paraId="48144AB1" w14:textId="77777777" w:rsidR="00C27A73" w:rsidRPr="007C1078" w:rsidRDefault="00C27A73" w:rsidP="008C571D">
            <w:pPr>
              <w:jc w:val="center"/>
            </w:pPr>
            <w:r w:rsidRPr="007C1078">
              <w:t>-.23</w:t>
            </w:r>
          </w:p>
        </w:tc>
        <w:tc>
          <w:tcPr>
            <w:tcW w:w="594" w:type="dxa"/>
            <w:tcBorders>
              <w:top w:val="nil"/>
              <w:left w:val="nil"/>
              <w:bottom w:val="nil"/>
              <w:right w:val="nil"/>
            </w:tcBorders>
            <w:vAlign w:val="center"/>
          </w:tcPr>
          <w:p w14:paraId="4D825146" w14:textId="77777777" w:rsidR="00C27A73" w:rsidRPr="007C1078" w:rsidRDefault="00C27A73" w:rsidP="008C571D">
            <w:pPr>
              <w:jc w:val="center"/>
            </w:pPr>
            <w:r w:rsidRPr="007C1078">
              <w:t>-.27</w:t>
            </w:r>
          </w:p>
        </w:tc>
        <w:tc>
          <w:tcPr>
            <w:tcW w:w="594" w:type="dxa"/>
            <w:tcBorders>
              <w:top w:val="nil"/>
              <w:left w:val="nil"/>
              <w:bottom w:val="nil"/>
              <w:right w:val="nil"/>
            </w:tcBorders>
            <w:vAlign w:val="center"/>
          </w:tcPr>
          <w:p w14:paraId="1B74D6A1" w14:textId="77777777" w:rsidR="00C27A73" w:rsidRPr="007C1078" w:rsidRDefault="00C27A73" w:rsidP="008C571D">
            <w:pPr>
              <w:jc w:val="center"/>
            </w:pPr>
            <w:r w:rsidRPr="007C1078">
              <w:t>.006</w:t>
            </w:r>
          </w:p>
        </w:tc>
        <w:tc>
          <w:tcPr>
            <w:tcW w:w="594" w:type="dxa"/>
            <w:tcBorders>
              <w:top w:val="nil"/>
              <w:left w:val="nil"/>
              <w:bottom w:val="nil"/>
              <w:right w:val="nil"/>
            </w:tcBorders>
            <w:vAlign w:val="center"/>
          </w:tcPr>
          <w:p w14:paraId="6C5A9D0D" w14:textId="77777777" w:rsidR="00C27A73" w:rsidRPr="007C1078" w:rsidRDefault="00C27A73" w:rsidP="008C571D">
            <w:pPr>
              <w:jc w:val="center"/>
            </w:pPr>
            <w:r w:rsidRPr="007C1078">
              <w:t>.001</w:t>
            </w:r>
          </w:p>
        </w:tc>
        <w:tc>
          <w:tcPr>
            <w:tcW w:w="720" w:type="dxa"/>
            <w:tcBorders>
              <w:top w:val="nil"/>
              <w:left w:val="nil"/>
              <w:bottom w:val="nil"/>
              <w:right w:val="nil"/>
            </w:tcBorders>
            <w:vAlign w:val="center"/>
          </w:tcPr>
          <w:p w14:paraId="6B47EF43" w14:textId="77777777" w:rsidR="00C27A73" w:rsidRPr="007C1078" w:rsidRDefault="000016E6" w:rsidP="008C571D">
            <w:pPr>
              <w:jc w:val="center"/>
            </w:pPr>
            <w:r>
              <w:t>.078</w:t>
            </w:r>
          </w:p>
        </w:tc>
        <w:tc>
          <w:tcPr>
            <w:tcW w:w="720" w:type="dxa"/>
            <w:tcBorders>
              <w:top w:val="nil"/>
              <w:left w:val="nil"/>
              <w:bottom w:val="nil"/>
              <w:right w:val="nil"/>
            </w:tcBorders>
            <w:vAlign w:val="center"/>
          </w:tcPr>
          <w:p w14:paraId="41B2BAC7" w14:textId="77777777" w:rsidR="00C27A73" w:rsidRPr="007C1078" w:rsidRDefault="000016E6" w:rsidP="008C571D">
            <w:pPr>
              <w:jc w:val="center"/>
            </w:pPr>
            <w:r>
              <w:t>.085</w:t>
            </w:r>
          </w:p>
        </w:tc>
        <w:tc>
          <w:tcPr>
            <w:tcW w:w="1710" w:type="dxa"/>
            <w:tcBorders>
              <w:top w:val="nil"/>
              <w:left w:val="nil"/>
              <w:bottom w:val="nil"/>
              <w:right w:val="nil"/>
            </w:tcBorders>
            <w:vAlign w:val="center"/>
          </w:tcPr>
          <w:p w14:paraId="00B42B41" w14:textId="2D87C042" w:rsidR="00C27A73" w:rsidRPr="007C1078" w:rsidRDefault="00734D0F" w:rsidP="00821D08">
            <w:pPr>
              <w:jc w:val="center"/>
            </w:pPr>
            <w:r>
              <w:t>87.59</w:t>
            </w:r>
            <w:r w:rsidR="00821D08">
              <w:t xml:space="preserve">, </w:t>
            </w:r>
            <w:r w:rsidR="00821D08" w:rsidRPr="00DF18D0">
              <w:rPr>
                <w:i/>
              </w:rPr>
              <w:t>p</w:t>
            </w:r>
            <w:r w:rsidR="00821D08">
              <w:t xml:space="preserve"> = .000</w:t>
            </w:r>
          </w:p>
        </w:tc>
        <w:tc>
          <w:tcPr>
            <w:tcW w:w="1350" w:type="dxa"/>
            <w:tcBorders>
              <w:top w:val="nil"/>
              <w:left w:val="nil"/>
              <w:bottom w:val="nil"/>
              <w:right w:val="nil"/>
            </w:tcBorders>
            <w:vAlign w:val="center"/>
          </w:tcPr>
          <w:p w14:paraId="1AEC109E" w14:textId="77777777" w:rsidR="00C27A73" w:rsidRPr="007C1078" w:rsidRDefault="00C27A73" w:rsidP="008C571D">
            <w:pPr>
              <w:jc w:val="center"/>
            </w:pPr>
            <w:r w:rsidRPr="007C1078">
              <w:t>-.38 : -.16</w:t>
            </w:r>
          </w:p>
        </w:tc>
        <w:tc>
          <w:tcPr>
            <w:tcW w:w="1535" w:type="dxa"/>
            <w:tcBorders>
              <w:top w:val="nil"/>
              <w:left w:val="nil"/>
              <w:bottom w:val="nil"/>
              <w:right w:val="nil"/>
            </w:tcBorders>
            <w:vAlign w:val="center"/>
          </w:tcPr>
          <w:p w14:paraId="6D46331F" w14:textId="77777777" w:rsidR="00C27A73" w:rsidRPr="007C1078" w:rsidRDefault="00C27A73" w:rsidP="008C571D">
            <w:pPr>
              <w:jc w:val="center"/>
            </w:pPr>
            <w:r w:rsidRPr="007C1078">
              <w:t>-.24 : -.21</w:t>
            </w:r>
          </w:p>
        </w:tc>
      </w:tr>
      <w:tr w:rsidR="008C571D" w:rsidRPr="00DD5BBF" w14:paraId="19868437" w14:textId="77777777" w:rsidTr="008C571D">
        <w:trPr>
          <w:trHeight w:val="245"/>
        </w:trPr>
        <w:tc>
          <w:tcPr>
            <w:tcW w:w="12960" w:type="dxa"/>
            <w:gridSpan w:val="12"/>
            <w:tcBorders>
              <w:top w:val="single" w:sz="4" w:space="0" w:color="auto"/>
              <w:left w:val="nil"/>
              <w:bottom w:val="nil"/>
              <w:right w:val="nil"/>
            </w:tcBorders>
          </w:tcPr>
          <w:p w14:paraId="391FF1A8" w14:textId="77777777" w:rsidR="008C571D" w:rsidRPr="007C1078" w:rsidRDefault="008C571D" w:rsidP="008C571D">
            <w:pPr>
              <w:jc w:val="center"/>
              <w:rPr>
                <w:b/>
              </w:rPr>
            </w:pPr>
            <w:r w:rsidRPr="007C1078">
              <w:rPr>
                <w:b/>
              </w:rPr>
              <w:t>Work-Related Outcomes (Job-based)</w:t>
            </w:r>
          </w:p>
        </w:tc>
      </w:tr>
      <w:tr w:rsidR="00C27A73" w:rsidRPr="009E1F0B" w14:paraId="6FCD00E9" w14:textId="77777777" w:rsidTr="00226AB0">
        <w:trPr>
          <w:trHeight w:val="245"/>
        </w:trPr>
        <w:tc>
          <w:tcPr>
            <w:tcW w:w="3144" w:type="dxa"/>
            <w:tcBorders>
              <w:top w:val="single" w:sz="4" w:space="0" w:color="auto"/>
              <w:left w:val="nil"/>
              <w:bottom w:val="nil"/>
              <w:right w:val="nil"/>
            </w:tcBorders>
            <w:vAlign w:val="center"/>
          </w:tcPr>
          <w:p w14:paraId="588ADEB6" w14:textId="77777777" w:rsidR="00C27A73" w:rsidRPr="009E1F0B" w:rsidRDefault="00C27A73" w:rsidP="008C571D">
            <w:r w:rsidRPr="009E1F0B">
              <w:t xml:space="preserve">High Labor Policy Integration </w:t>
            </w:r>
          </w:p>
          <w:p w14:paraId="628ED6D0" w14:textId="77777777" w:rsidR="00C27A73" w:rsidRPr="009E1F0B" w:rsidRDefault="00C27A73" w:rsidP="008C571D">
            <w:r w:rsidRPr="009E1F0B">
              <w:t xml:space="preserve">   and Practice Enforcement </w:t>
            </w:r>
            <w:r w:rsidRPr="009E1F0B">
              <w:rPr>
                <w:vertAlign w:val="superscript"/>
              </w:rPr>
              <w:t>1</w:t>
            </w:r>
          </w:p>
        </w:tc>
        <w:tc>
          <w:tcPr>
            <w:tcW w:w="809" w:type="dxa"/>
            <w:tcBorders>
              <w:top w:val="single" w:sz="4" w:space="0" w:color="auto"/>
              <w:left w:val="nil"/>
              <w:bottom w:val="nil"/>
              <w:right w:val="nil"/>
            </w:tcBorders>
            <w:vAlign w:val="center"/>
          </w:tcPr>
          <w:p w14:paraId="1CD3DC94" w14:textId="77777777" w:rsidR="00C27A73" w:rsidRPr="009E1F0B" w:rsidRDefault="00C27A73" w:rsidP="008C571D">
            <w:pPr>
              <w:jc w:val="center"/>
            </w:pPr>
            <w:r w:rsidRPr="009E1F0B">
              <w:t>8,976</w:t>
            </w:r>
          </w:p>
        </w:tc>
        <w:tc>
          <w:tcPr>
            <w:tcW w:w="594" w:type="dxa"/>
            <w:tcBorders>
              <w:top w:val="single" w:sz="4" w:space="0" w:color="auto"/>
              <w:left w:val="nil"/>
              <w:bottom w:val="nil"/>
              <w:right w:val="nil"/>
            </w:tcBorders>
            <w:vAlign w:val="center"/>
          </w:tcPr>
          <w:p w14:paraId="06C1ECA4" w14:textId="77777777" w:rsidR="00C27A73" w:rsidRPr="009E1F0B" w:rsidRDefault="00C27A73" w:rsidP="008C571D">
            <w:pPr>
              <w:jc w:val="center"/>
            </w:pPr>
            <w:r w:rsidRPr="009E1F0B">
              <w:t>6</w:t>
            </w:r>
          </w:p>
        </w:tc>
        <w:tc>
          <w:tcPr>
            <w:tcW w:w="596" w:type="dxa"/>
            <w:tcBorders>
              <w:top w:val="single" w:sz="4" w:space="0" w:color="auto"/>
              <w:left w:val="nil"/>
              <w:bottom w:val="nil"/>
              <w:right w:val="nil"/>
            </w:tcBorders>
            <w:vAlign w:val="center"/>
          </w:tcPr>
          <w:p w14:paraId="589FFF02" w14:textId="77777777" w:rsidR="00C27A73" w:rsidRPr="009E1F0B" w:rsidRDefault="00C27A73" w:rsidP="008C571D">
            <w:pPr>
              <w:jc w:val="center"/>
            </w:pPr>
            <w:r w:rsidRPr="009E1F0B">
              <w:t>-.01</w:t>
            </w:r>
          </w:p>
        </w:tc>
        <w:tc>
          <w:tcPr>
            <w:tcW w:w="594" w:type="dxa"/>
            <w:tcBorders>
              <w:top w:val="single" w:sz="4" w:space="0" w:color="auto"/>
              <w:left w:val="nil"/>
              <w:bottom w:val="nil"/>
              <w:right w:val="nil"/>
            </w:tcBorders>
            <w:vAlign w:val="center"/>
          </w:tcPr>
          <w:p w14:paraId="0D06C8BF" w14:textId="48B86CF2" w:rsidR="00C27A73" w:rsidRPr="009E1F0B" w:rsidRDefault="00D5727C" w:rsidP="008C571D">
            <w:pPr>
              <w:jc w:val="center"/>
            </w:pPr>
            <w:r>
              <w:t>-.01</w:t>
            </w:r>
          </w:p>
        </w:tc>
        <w:tc>
          <w:tcPr>
            <w:tcW w:w="594" w:type="dxa"/>
            <w:tcBorders>
              <w:top w:val="single" w:sz="4" w:space="0" w:color="auto"/>
              <w:left w:val="nil"/>
              <w:bottom w:val="nil"/>
              <w:right w:val="nil"/>
            </w:tcBorders>
            <w:vAlign w:val="center"/>
          </w:tcPr>
          <w:p w14:paraId="584FF2C5" w14:textId="77777777" w:rsidR="00C27A73" w:rsidRPr="009E1F0B" w:rsidRDefault="00C27A73" w:rsidP="008C571D">
            <w:pPr>
              <w:jc w:val="center"/>
            </w:pPr>
            <w:r w:rsidRPr="009E1F0B">
              <w:t>.003</w:t>
            </w:r>
          </w:p>
        </w:tc>
        <w:tc>
          <w:tcPr>
            <w:tcW w:w="594" w:type="dxa"/>
            <w:tcBorders>
              <w:top w:val="single" w:sz="4" w:space="0" w:color="auto"/>
              <w:left w:val="nil"/>
              <w:bottom w:val="nil"/>
              <w:right w:val="nil"/>
            </w:tcBorders>
            <w:vAlign w:val="center"/>
          </w:tcPr>
          <w:p w14:paraId="0E214FED" w14:textId="77777777" w:rsidR="00C27A73" w:rsidRPr="009E1F0B" w:rsidRDefault="00C27A73" w:rsidP="008C571D">
            <w:pPr>
              <w:jc w:val="center"/>
            </w:pPr>
            <w:r w:rsidRPr="009E1F0B">
              <w:t>.001</w:t>
            </w:r>
          </w:p>
        </w:tc>
        <w:tc>
          <w:tcPr>
            <w:tcW w:w="720" w:type="dxa"/>
            <w:tcBorders>
              <w:top w:val="single" w:sz="4" w:space="0" w:color="auto"/>
              <w:left w:val="nil"/>
              <w:bottom w:val="nil"/>
              <w:right w:val="nil"/>
            </w:tcBorders>
            <w:vAlign w:val="center"/>
          </w:tcPr>
          <w:p w14:paraId="2F040134" w14:textId="77777777" w:rsidR="00C27A73" w:rsidRPr="009E1F0B" w:rsidRDefault="002D6D57" w:rsidP="008C571D">
            <w:pPr>
              <w:jc w:val="center"/>
            </w:pPr>
            <w:r>
              <w:t>.058</w:t>
            </w:r>
          </w:p>
        </w:tc>
        <w:tc>
          <w:tcPr>
            <w:tcW w:w="720" w:type="dxa"/>
            <w:tcBorders>
              <w:top w:val="single" w:sz="4" w:space="0" w:color="auto"/>
              <w:left w:val="nil"/>
              <w:bottom w:val="nil"/>
              <w:right w:val="nil"/>
            </w:tcBorders>
            <w:vAlign w:val="center"/>
          </w:tcPr>
          <w:p w14:paraId="47AEF405" w14:textId="77777777" w:rsidR="00C27A73" w:rsidRPr="009E1F0B" w:rsidRDefault="002D6D57" w:rsidP="008C571D">
            <w:pPr>
              <w:jc w:val="center"/>
            </w:pPr>
            <w:r>
              <w:t>.068</w:t>
            </w:r>
          </w:p>
        </w:tc>
        <w:tc>
          <w:tcPr>
            <w:tcW w:w="1710" w:type="dxa"/>
            <w:tcBorders>
              <w:top w:val="single" w:sz="4" w:space="0" w:color="auto"/>
              <w:left w:val="nil"/>
              <w:bottom w:val="nil"/>
              <w:right w:val="nil"/>
            </w:tcBorders>
            <w:vAlign w:val="center"/>
          </w:tcPr>
          <w:p w14:paraId="1DD42C46" w14:textId="138EF095" w:rsidR="00C27A73" w:rsidRPr="009E1F0B" w:rsidRDefault="00D05AC6" w:rsidP="00821D08">
            <w:pPr>
              <w:jc w:val="center"/>
            </w:pPr>
            <w:r>
              <w:t>30.67</w:t>
            </w:r>
            <w:r w:rsidR="00821D08">
              <w:t xml:space="preserve">, </w:t>
            </w:r>
            <w:r w:rsidR="00821D08" w:rsidRPr="00DF18D0">
              <w:rPr>
                <w:i/>
              </w:rPr>
              <w:t>p</w:t>
            </w:r>
            <w:r w:rsidR="00821D08">
              <w:t xml:space="preserve"> = .000</w:t>
            </w:r>
          </w:p>
        </w:tc>
        <w:tc>
          <w:tcPr>
            <w:tcW w:w="1350" w:type="dxa"/>
            <w:tcBorders>
              <w:top w:val="single" w:sz="4" w:space="0" w:color="auto"/>
              <w:left w:val="nil"/>
              <w:bottom w:val="nil"/>
              <w:right w:val="nil"/>
            </w:tcBorders>
            <w:vAlign w:val="center"/>
          </w:tcPr>
          <w:p w14:paraId="6FB345B4" w14:textId="77777777" w:rsidR="00C27A73" w:rsidRPr="009E1F0B" w:rsidRDefault="00C27A73" w:rsidP="008C571D">
            <w:pPr>
              <w:jc w:val="center"/>
            </w:pPr>
            <w:r w:rsidRPr="009E1F0B">
              <w:t>-.10 : .08</w:t>
            </w:r>
          </w:p>
        </w:tc>
        <w:tc>
          <w:tcPr>
            <w:tcW w:w="1535" w:type="dxa"/>
            <w:tcBorders>
              <w:top w:val="single" w:sz="4" w:space="0" w:color="auto"/>
              <w:left w:val="nil"/>
              <w:bottom w:val="nil"/>
              <w:right w:val="nil"/>
            </w:tcBorders>
            <w:vAlign w:val="center"/>
          </w:tcPr>
          <w:p w14:paraId="4B860725" w14:textId="77777777" w:rsidR="00C27A73" w:rsidRPr="009E1F0B" w:rsidRDefault="00C27A73" w:rsidP="008C571D">
            <w:pPr>
              <w:jc w:val="center"/>
            </w:pPr>
            <w:r w:rsidRPr="009E1F0B">
              <w:t>-.03 : .01</w:t>
            </w:r>
          </w:p>
        </w:tc>
      </w:tr>
      <w:tr w:rsidR="00C27A73" w:rsidRPr="00FD115B" w14:paraId="48A4DD8A" w14:textId="77777777" w:rsidTr="00226AB0">
        <w:trPr>
          <w:trHeight w:val="245"/>
        </w:trPr>
        <w:tc>
          <w:tcPr>
            <w:tcW w:w="3144" w:type="dxa"/>
            <w:tcBorders>
              <w:top w:val="nil"/>
              <w:left w:val="nil"/>
              <w:bottom w:val="single" w:sz="4" w:space="0" w:color="auto"/>
              <w:right w:val="nil"/>
            </w:tcBorders>
            <w:vAlign w:val="center"/>
          </w:tcPr>
          <w:p w14:paraId="26A8EF1F" w14:textId="77777777" w:rsidR="00C27A73" w:rsidRPr="009E1F0B" w:rsidRDefault="00C27A73" w:rsidP="008C571D">
            <w:r w:rsidRPr="009E1F0B">
              <w:t xml:space="preserve">Low Labor Policy Integration </w:t>
            </w:r>
          </w:p>
          <w:p w14:paraId="39EA3122" w14:textId="77777777" w:rsidR="00C27A73" w:rsidRPr="009E1F0B" w:rsidRDefault="00C27A73" w:rsidP="008C571D">
            <w:r w:rsidRPr="009E1F0B">
              <w:t xml:space="preserve">   and Practice Enforcement</w:t>
            </w:r>
          </w:p>
        </w:tc>
        <w:tc>
          <w:tcPr>
            <w:tcW w:w="809" w:type="dxa"/>
            <w:tcBorders>
              <w:top w:val="nil"/>
              <w:left w:val="nil"/>
              <w:bottom w:val="single" w:sz="4" w:space="0" w:color="auto"/>
              <w:right w:val="nil"/>
            </w:tcBorders>
            <w:vAlign w:val="center"/>
          </w:tcPr>
          <w:p w14:paraId="686BBA05" w14:textId="77777777" w:rsidR="00C27A73" w:rsidRPr="009E1F0B" w:rsidRDefault="00C27A73" w:rsidP="008C571D">
            <w:pPr>
              <w:jc w:val="center"/>
            </w:pPr>
            <w:r w:rsidRPr="009E1F0B">
              <w:t>2,684</w:t>
            </w:r>
          </w:p>
        </w:tc>
        <w:tc>
          <w:tcPr>
            <w:tcW w:w="594" w:type="dxa"/>
            <w:tcBorders>
              <w:top w:val="nil"/>
              <w:left w:val="nil"/>
              <w:bottom w:val="single" w:sz="4" w:space="0" w:color="auto"/>
              <w:right w:val="nil"/>
            </w:tcBorders>
            <w:vAlign w:val="center"/>
          </w:tcPr>
          <w:p w14:paraId="07CC3566" w14:textId="77777777" w:rsidR="00C27A73" w:rsidRPr="009E1F0B" w:rsidRDefault="00C27A73" w:rsidP="008C571D">
            <w:pPr>
              <w:jc w:val="center"/>
            </w:pPr>
            <w:r w:rsidRPr="009E1F0B">
              <w:t>5</w:t>
            </w:r>
          </w:p>
        </w:tc>
        <w:tc>
          <w:tcPr>
            <w:tcW w:w="596" w:type="dxa"/>
            <w:tcBorders>
              <w:top w:val="nil"/>
              <w:left w:val="nil"/>
              <w:bottom w:val="single" w:sz="4" w:space="0" w:color="auto"/>
              <w:right w:val="nil"/>
            </w:tcBorders>
            <w:vAlign w:val="center"/>
          </w:tcPr>
          <w:p w14:paraId="40294CE4" w14:textId="77777777" w:rsidR="00C27A73" w:rsidRPr="009E1F0B" w:rsidRDefault="00C27A73" w:rsidP="008C571D">
            <w:pPr>
              <w:jc w:val="center"/>
            </w:pPr>
            <w:r w:rsidRPr="009E1F0B">
              <w:t>-.14</w:t>
            </w:r>
          </w:p>
        </w:tc>
        <w:tc>
          <w:tcPr>
            <w:tcW w:w="594" w:type="dxa"/>
            <w:tcBorders>
              <w:top w:val="nil"/>
              <w:left w:val="nil"/>
              <w:bottom w:val="single" w:sz="4" w:space="0" w:color="auto"/>
              <w:right w:val="nil"/>
            </w:tcBorders>
            <w:vAlign w:val="center"/>
          </w:tcPr>
          <w:p w14:paraId="0B77A192" w14:textId="77777777" w:rsidR="00C27A73" w:rsidRPr="009E1F0B" w:rsidRDefault="00C27A73" w:rsidP="008C571D">
            <w:pPr>
              <w:jc w:val="center"/>
            </w:pPr>
            <w:r w:rsidRPr="009E1F0B">
              <w:t>-.18</w:t>
            </w:r>
          </w:p>
        </w:tc>
        <w:tc>
          <w:tcPr>
            <w:tcW w:w="594" w:type="dxa"/>
            <w:tcBorders>
              <w:top w:val="nil"/>
              <w:left w:val="nil"/>
              <w:bottom w:val="single" w:sz="4" w:space="0" w:color="auto"/>
              <w:right w:val="nil"/>
            </w:tcBorders>
            <w:vAlign w:val="center"/>
          </w:tcPr>
          <w:p w14:paraId="077E103F" w14:textId="77777777" w:rsidR="00C27A73" w:rsidRPr="009E1F0B" w:rsidRDefault="00C27A73" w:rsidP="008C571D">
            <w:pPr>
              <w:jc w:val="center"/>
            </w:pPr>
            <w:r w:rsidRPr="009E1F0B">
              <w:t>.002</w:t>
            </w:r>
          </w:p>
        </w:tc>
        <w:tc>
          <w:tcPr>
            <w:tcW w:w="594" w:type="dxa"/>
            <w:tcBorders>
              <w:top w:val="nil"/>
              <w:left w:val="nil"/>
              <w:bottom w:val="single" w:sz="4" w:space="0" w:color="auto"/>
              <w:right w:val="nil"/>
            </w:tcBorders>
            <w:vAlign w:val="center"/>
          </w:tcPr>
          <w:p w14:paraId="0A41E8D4" w14:textId="77777777" w:rsidR="00C27A73" w:rsidRPr="009E1F0B" w:rsidRDefault="00C27A73" w:rsidP="008C571D">
            <w:pPr>
              <w:jc w:val="center"/>
            </w:pPr>
            <w:r w:rsidRPr="009E1F0B">
              <w:t>.002</w:t>
            </w:r>
          </w:p>
        </w:tc>
        <w:tc>
          <w:tcPr>
            <w:tcW w:w="720" w:type="dxa"/>
            <w:tcBorders>
              <w:top w:val="nil"/>
              <w:left w:val="nil"/>
              <w:bottom w:val="single" w:sz="4" w:space="0" w:color="auto"/>
              <w:right w:val="nil"/>
            </w:tcBorders>
            <w:vAlign w:val="center"/>
          </w:tcPr>
          <w:p w14:paraId="1D8DB960" w14:textId="77777777" w:rsidR="00C27A73" w:rsidRPr="009E1F0B" w:rsidRDefault="00436FD6" w:rsidP="008C571D">
            <w:pPr>
              <w:jc w:val="center"/>
            </w:pPr>
            <w:r>
              <w:t>.049</w:t>
            </w:r>
          </w:p>
        </w:tc>
        <w:tc>
          <w:tcPr>
            <w:tcW w:w="720" w:type="dxa"/>
            <w:tcBorders>
              <w:top w:val="nil"/>
              <w:left w:val="nil"/>
              <w:bottom w:val="single" w:sz="4" w:space="0" w:color="auto"/>
              <w:right w:val="nil"/>
            </w:tcBorders>
            <w:vAlign w:val="center"/>
          </w:tcPr>
          <w:p w14:paraId="610D5FBB" w14:textId="77777777" w:rsidR="00C27A73" w:rsidRPr="009E1F0B" w:rsidRDefault="00436FD6" w:rsidP="008C571D">
            <w:pPr>
              <w:jc w:val="center"/>
            </w:pPr>
            <w:r>
              <w:t>.028</w:t>
            </w:r>
          </w:p>
        </w:tc>
        <w:tc>
          <w:tcPr>
            <w:tcW w:w="1710" w:type="dxa"/>
            <w:tcBorders>
              <w:top w:val="nil"/>
              <w:left w:val="nil"/>
              <w:bottom w:val="single" w:sz="4" w:space="0" w:color="auto"/>
              <w:right w:val="nil"/>
            </w:tcBorders>
            <w:vAlign w:val="center"/>
          </w:tcPr>
          <w:p w14:paraId="591E6A30" w14:textId="77777777" w:rsidR="00C27A73" w:rsidRPr="009E1F0B" w:rsidRDefault="00C27A73" w:rsidP="00226AB0">
            <w:pPr>
              <w:jc w:val="center"/>
            </w:pPr>
            <w:r w:rsidRPr="009E1F0B">
              <w:t>6.17</w:t>
            </w:r>
            <w:r w:rsidR="00226AB0">
              <w:t xml:space="preserve">, </w:t>
            </w:r>
            <w:r w:rsidR="00226AB0" w:rsidRPr="00DF18D0">
              <w:rPr>
                <w:i/>
              </w:rPr>
              <w:t>p</w:t>
            </w:r>
            <w:r w:rsidR="00226AB0">
              <w:t xml:space="preserve"> = .013</w:t>
            </w:r>
          </w:p>
        </w:tc>
        <w:tc>
          <w:tcPr>
            <w:tcW w:w="1350" w:type="dxa"/>
            <w:tcBorders>
              <w:top w:val="nil"/>
              <w:left w:val="nil"/>
              <w:bottom w:val="single" w:sz="4" w:space="0" w:color="auto"/>
              <w:right w:val="nil"/>
            </w:tcBorders>
            <w:vAlign w:val="center"/>
          </w:tcPr>
          <w:p w14:paraId="7EDCAACB" w14:textId="77777777" w:rsidR="00C27A73" w:rsidRPr="009E1F0B" w:rsidRDefault="00C27A73" w:rsidP="008C571D">
            <w:pPr>
              <w:jc w:val="center"/>
            </w:pPr>
            <w:r w:rsidRPr="009E1F0B">
              <w:t>-.22 : -.15</w:t>
            </w:r>
          </w:p>
        </w:tc>
        <w:tc>
          <w:tcPr>
            <w:tcW w:w="1535" w:type="dxa"/>
            <w:tcBorders>
              <w:top w:val="nil"/>
              <w:left w:val="nil"/>
              <w:bottom w:val="single" w:sz="4" w:space="0" w:color="auto"/>
              <w:right w:val="nil"/>
            </w:tcBorders>
            <w:vAlign w:val="center"/>
          </w:tcPr>
          <w:p w14:paraId="72913B82" w14:textId="77777777" w:rsidR="00C27A73" w:rsidRPr="009E1F0B" w:rsidRDefault="00C27A73" w:rsidP="008C571D">
            <w:pPr>
              <w:jc w:val="center"/>
            </w:pPr>
            <w:r w:rsidRPr="009E1F0B">
              <w:t>-.18 : -.10</w:t>
            </w:r>
          </w:p>
        </w:tc>
      </w:tr>
      <w:tr w:rsidR="00167365" w:rsidRPr="00FD115B" w14:paraId="3D6E7C15" w14:textId="77777777" w:rsidTr="00167365">
        <w:trPr>
          <w:trHeight w:val="245"/>
        </w:trPr>
        <w:tc>
          <w:tcPr>
            <w:tcW w:w="12960" w:type="dxa"/>
            <w:gridSpan w:val="12"/>
            <w:tcBorders>
              <w:top w:val="single" w:sz="4" w:space="0" w:color="auto"/>
              <w:left w:val="nil"/>
              <w:bottom w:val="nil"/>
              <w:right w:val="nil"/>
            </w:tcBorders>
            <w:vAlign w:val="center"/>
          </w:tcPr>
          <w:p w14:paraId="77D3E5F3" w14:textId="4F94B915" w:rsidR="00167365" w:rsidRPr="00F807A9" w:rsidRDefault="00167365" w:rsidP="00167365">
            <w:pPr>
              <w:pStyle w:val="FootnoteText"/>
              <w:rPr>
                <w:rFonts w:ascii="Times New Roman" w:hAnsi="Times New Roman"/>
              </w:rPr>
            </w:pPr>
            <w:r w:rsidRPr="00F807A9">
              <w:rPr>
                <w:rFonts w:ascii="Times New Roman" w:hAnsi="Times New Roman"/>
                <w:i/>
              </w:rPr>
              <w:t>N</w:t>
            </w:r>
            <w:r w:rsidRPr="00F807A9">
              <w:rPr>
                <w:rFonts w:ascii="Times New Roman" w:hAnsi="Times New Roman"/>
              </w:rPr>
              <w:t xml:space="preserve"> = Total sample size; </w:t>
            </w:r>
            <w:r>
              <w:rPr>
                <w:rFonts w:ascii="Times New Roman" w:hAnsi="Times New Roman"/>
                <w:i/>
              </w:rPr>
              <w:t>k</w:t>
            </w:r>
            <w:r w:rsidRPr="00F807A9">
              <w:rPr>
                <w:rFonts w:ascii="Times New Roman" w:hAnsi="Times New Roman"/>
              </w:rPr>
              <w:t xml:space="preserve"> = Total no. of independent samples; </w:t>
            </w:r>
            <m:oMath>
              <m:acc>
                <m:accPr>
                  <m:chr m:val="̅"/>
                  <m:ctrlPr>
                    <w:rPr>
                      <w:rFonts w:ascii="Cambria Math" w:hAnsi="Cambria Math"/>
                      <w:i/>
                    </w:rPr>
                  </m:ctrlPr>
                </m:accPr>
                <m:e>
                  <m:r>
                    <w:rPr>
                      <w:rFonts w:ascii="Cambria Math" w:hAnsi="Cambria Math"/>
                    </w:rPr>
                    <m:t>r</m:t>
                  </m:r>
                </m:e>
              </m:acc>
            </m:oMath>
            <w:r w:rsidRPr="00F807A9">
              <w:rPr>
                <w:rFonts w:ascii="Times New Roman" w:hAnsi="Times New Roman"/>
              </w:rPr>
              <w:t xml:space="preserve"> = sample size weighted mean observed correlation; </w:t>
            </w:r>
            <m:oMath>
              <m:acc>
                <m:accPr>
                  <m:ctrlPr>
                    <w:rPr>
                      <w:rFonts w:ascii="Cambria Math" w:eastAsia="Times New Roman" w:hAnsi="Cambria Math"/>
                      <w:i/>
                      <w:sz w:val="24"/>
                      <w:szCs w:val="24"/>
                      <w:lang w:eastAsia="ar-SA"/>
                    </w:rPr>
                  </m:ctrlPr>
                </m:accPr>
                <m:e>
                  <m:r>
                    <w:rPr>
                      <w:rFonts w:ascii="Cambria Math" w:hAnsi="Cambria Math"/>
                    </w:rPr>
                    <m:t>ρ</m:t>
                  </m:r>
                </m:e>
              </m:acc>
            </m:oMath>
            <w:r w:rsidRPr="00F807A9">
              <w:rPr>
                <w:rFonts w:ascii="Times New Roman" w:hAnsi="Times New Roman"/>
              </w:rPr>
              <w:t xml:space="preserve"> = mean true score correlation; </w:t>
            </w:r>
            <m:oMath>
              <m:sSup>
                <m:sSupPr>
                  <m:ctrlPr>
                    <w:rPr>
                      <w:rFonts w:ascii="Cambria Math" w:eastAsia="SimHei" w:hAnsi="Cambria Math"/>
                      <w:i/>
                    </w:rPr>
                  </m:ctrlPr>
                </m:sSupPr>
                <m:e>
                  <m:sSub>
                    <m:sSubPr>
                      <m:ctrlPr>
                        <w:rPr>
                          <w:rFonts w:ascii="Cambria Math" w:eastAsia="SimHei" w:hAnsi="Cambria Math"/>
                          <w:i/>
                        </w:rPr>
                      </m:ctrlPr>
                    </m:sSubPr>
                    <m:e>
                      <m:r>
                        <w:rPr>
                          <w:rFonts w:ascii="Cambria Math" w:eastAsia="SimHei" w:hAnsi="Cambria Math"/>
                        </w:rPr>
                        <m:t>σ</m:t>
                      </m:r>
                    </m:e>
                    <m:sub>
                      <m:r>
                        <w:rPr>
                          <w:rFonts w:ascii="Cambria Math" w:eastAsia="SimHei" w:hAnsi="Cambria Math"/>
                        </w:rPr>
                        <m:t>r</m:t>
                      </m:r>
                    </m:sub>
                  </m:sSub>
                </m:e>
                <m:sup>
                  <m:r>
                    <w:rPr>
                      <w:rFonts w:ascii="Cambria Math" w:eastAsia="SimHei" w:hAnsi="Cambria Math"/>
                    </w:rPr>
                    <m:t>2</m:t>
                  </m:r>
                </m:sup>
              </m:sSup>
            </m:oMath>
            <w:r w:rsidRPr="00F807A9">
              <w:rPr>
                <w:rFonts w:ascii="Times New Roman" w:hAnsi="Times New Roman"/>
              </w:rPr>
              <w:t xml:space="preserve"> = sample size weighted observed variance of correlations; </w:t>
            </w:r>
            <m:oMath>
              <m:sSup>
                <m:sSupPr>
                  <m:ctrlPr>
                    <w:rPr>
                      <w:rFonts w:ascii="Cambria Math" w:eastAsia="SimHei" w:hAnsi="Cambria Math"/>
                      <w:i/>
                    </w:rPr>
                  </m:ctrlPr>
                </m:sSupPr>
                <m:e>
                  <m:sSub>
                    <m:sSubPr>
                      <m:ctrlPr>
                        <w:rPr>
                          <w:rFonts w:ascii="Cambria Math" w:eastAsia="SimHei" w:hAnsi="Cambria Math"/>
                          <w:i/>
                        </w:rPr>
                      </m:ctrlPr>
                    </m:sSubPr>
                    <m:e>
                      <m:r>
                        <w:rPr>
                          <w:rFonts w:ascii="Cambria Math" w:eastAsia="SimHei" w:hAnsi="Cambria Math"/>
                        </w:rPr>
                        <m:t>σ</m:t>
                      </m:r>
                    </m:e>
                    <m:sub>
                      <m:r>
                        <w:rPr>
                          <w:rFonts w:ascii="Cambria Math" w:eastAsia="SimHei" w:hAnsi="Cambria Math"/>
                        </w:rPr>
                        <m:t>e</m:t>
                      </m:r>
                    </m:sub>
                  </m:sSub>
                </m:e>
                <m:sup>
                  <m:r>
                    <w:rPr>
                      <w:rFonts w:ascii="Cambria Math" w:eastAsia="SimHei" w:hAnsi="Cambria Math"/>
                    </w:rPr>
                    <m:t>2</m:t>
                  </m:r>
                </m:sup>
              </m:sSup>
            </m:oMath>
            <w:r w:rsidRPr="00F807A9">
              <w:rPr>
                <w:rFonts w:ascii="Times New Roman" w:hAnsi="Times New Roman"/>
              </w:rPr>
              <w:t xml:space="preserve"> = variance attributable to sampling error variance</w:t>
            </w:r>
            <w:r w:rsidR="0072390E">
              <w:rPr>
                <w:rFonts w:ascii="Times New Roman" w:hAnsi="Times New Roman"/>
              </w:rPr>
              <w:t>;</w:t>
            </w:r>
            <w:r w:rsidR="0072390E" w:rsidRPr="0034606B">
              <w:rPr>
                <w:rFonts w:ascii="Times New Roman" w:hAnsi="Times New Roman"/>
                <w:i/>
              </w:rPr>
              <w:t xml:space="preserve"> SD </w:t>
            </w:r>
            <m:oMath>
              <m:acc>
                <m:accPr>
                  <m:chr m:val="̅"/>
                  <m:ctrlPr>
                    <w:rPr>
                      <w:rFonts w:ascii="Cambria Math" w:hAnsi="Cambria Math"/>
                      <w:i/>
                    </w:rPr>
                  </m:ctrlPr>
                </m:accPr>
                <m:e>
                  <m:r>
                    <w:rPr>
                      <w:rFonts w:ascii="Cambria Math" w:hAnsi="Cambria Math"/>
                    </w:rPr>
                    <m:t>r</m:t>
                  </m:r>
                </m:e>
              </m:acc>
              <m:r>
                <w:rPr>
                  <w:rFonts w:ascii="Cambria Math" w:hAnsi="Cambria Math"/>
                </w:rPr>
                <m:t xml:space="preserve"> </m:t>
              </m:r>
            </m:oMath>
            <w:r w:rsidR="0072390E">
              <w:rPr>
                <w:rFonts w:ascii="Times New Roman" w:eastAsia="Times New Roman" w:hAnsi="Times New Roman"/>
              </w:rPr>
              <w:t xml:space="preserve">= standard deviation of observed correlation; </w:t>
            </w:r>
            <w:r w:rsidR="0072390E" w:rsidRPr="0034606B">
              <w:rPr>
                <w:rFonts w:ascii="Times New Roman" w:hAnsi="Times New Roman"/>
                <w:i/>
              </w:rPr>
              <w:t>SD</w:t>
            </w:r>
            <m:oMath>
              <m:r>
                <w:rPr>
                  <w:rFonts w:ascii="Cambria Math" w:hAnsi="Cambria Math"/>
                </w:rPr>
                <m:t xml:space="preserve"> </m:t>
              </m:r>
              <m:acc>
                <m:accPr>
                  <m:ctrlPr>
                    <w:rPr>
                      <w:rFonts w:ascii="Cambria Math" w:hAnsi="Cambria Math"/>
                      <w:i/>
                    </w:rPr>
                  </m:ctrlPr>
                </m:accPr>
                <m:e>
                  <m:r>
                    <w:rPr>
                      <w:rFonts w:ascii="Cambria Math" w:hAnsi="Cambria Math"/>
                    </w:rPr>
                    <m:t>ρ</m:t>
                  </m:r>
                </m:e>
              </m:acc>
            </m:oMath>
            <w:r w:rsidR="0072390E">
              <w:t xml:space="preserve"> </w:t>
            </w:r>
            <w:r w:rsidR="0072390E">
              <w:rPr>
                <w:rFonts w:ascii="Times New Roman" w:eastAsia="Times New Roman" w:hAnsi="Times New Roman"/>
              </w:rPr>
              <w:t>= standard deviation of true score correlation</w:t>
            </w:r>
            <w:r w:rsidRPr="00F807A9">
              <w:rPr>
                <w:rFonts w:ascii="Times New Roman" w:hAnsi="Times New Roman"/>
              </w:rPr>
              <w:t>; χ</w:t>
            </w:r>
            <w:r w:rsidRPr="00F807A9">
              <w:rPr>
                <w:rFonts w:ascii="Times New Roman" w:hAnsi="Times New Roman"/>
                <w:vertAlign w:val="superscript"/>
              </w:rPr>
              <w:t>2</w:t>
            </w:r>
            <w:r w:rsidRPr="00F807A9">
              <w:rPr>
                <w:rFonts w:ascii="Times New Roman" w:hAnsi="Times New Roman"/>
                <w:vertAlign w:val="subscript"/>
              </w:rPr>
              <w:t>K-1</w:t>
            </w:r>
            <w:r>
              <w:rPr>
                <w:rFonts w:ascii="Times New Roman" w:hAnsi="Times New Roman"/>
              </w:rPr>
              <w:t xml:space="preserve"> = (</w:t>
            </w:r>
            <w:r w:rsidRPr="00F807A9">
              <w:rPr>
                <w:rFonts w:ascii="Times New Roman" w:hAnsi="Times New Roman"/>
              </w:rPr>
              <w:t xml:space="preserve">N / (1 - </w:t>
            </w:r>
            <m:oMath>
              <m:acc>
                <m:accPr>
                  <m:chr m:val="̅"/>
                  <m:ctrlPr>
                    <w:rPr>
                      <w:rFonts w:ascii="Cambria Math" w:hAnsi="Cambria Math"/>
                      <w:i/>
                    </w:rPr>
                  </m:ctrlPr>
                </m:accPr>
                <m:e>
                  <m:r>
                    <m:rPr>
                      <m:nor/>
                    </m:rPr>
                    <w:rPr>
                      <w:rFonts w:ascii="Times New Roman" w:hAnsi="Times New Roman"/>
                      <w:i/>
                    </w:rPr>
                    <m:t>r</m:t>
                  </m:r>
                </m:e>
              </m:acc>
            </m:oMath>
            <w:r w:rsidRPr="00F807A9">
              <w:rPr>
                <w:rFonts w:ascii="Times New Roman" w:hAnsi="Times New Roman"/>
              </w:rPr>
              <w:t xml:space="preserve"> </w:t>
            </w:r>
            <w:r w:rsidRPr="00F807A9">
              <w:rPr>
                <w:rFonts w:ascii="Times New Roman" w:hAnsi="Times New Roman"/>
                <w:vertAlign w:val="superscript"/>
              </w:rPr>
              <w:t>2</w:t>
            </w:r>
            <w:r w:rsidRPr="00F807A9">
              <w:rPr>
                <w:rFonts w:ascii="Times New Roman" w:hAnsi="Times New Roman"/>
              </w:rPr>
              <w:t>)</w:t>
            </w:r>
            <w:r w:rsidRPr="00F807A9">
              <w:rPr>
                <w:rFonts w:ascii="Times New Roman" w:hAnsi="Times New Roman"/>
                <w:vertAlign w:val="superscript"/>
              </w:rPr>
              <w:t xml:space="preserve">2 </w:t>
            </w:r>
            <w:r w:rsidRPr="00F807A9">
              <w:rPr>
                <w:rFonts w:ascii="Times New Roman" w:hAnsi="Times New Roman"/>
              </w:rPr>
              <w:t>) σ</w:t>
            </w:r>
            <w:r w:rsidRPr="00F807A9">
              <w:rPr>
                <w:rFonts w:ascii="Times New Roman" w:hAnsi="Times New Roman"/>
                <w:vertAlign w:val="subscript"/>
              </w:rPr>
              <w:t>r</w:t>
            </w:r>
            <w:r w:rsidRPr="00F807A9">
              <w:rPr>
                <w:rFonts w:ascii="Times New Roman" w:hAnsi="Times New Roman"/>
                <w:vertAlign w:val="superscript"/>
              </w:rPr>
              <w:t>2</w:t>
            </w:r>
            <w:r w:rsidRPr="00F807A9">
              <w:rPr>
                <w:rFonts w:ascii="Times New Roman" w:hAnsi="Times New Roman"/>
              </w:rPr>
              <w:t xml:space="preserve"> tests homogeneity of correlations (i.e.</w:t>
            </w:r>
            <w:r>
              <w:rPr>
                <w:rFonts w:ascii="Times New Roman" w:hAnsi="Times New Roman"/>
              </w:rPr>
              <w:t>,</w:t>
            </w:r>
            <w:r w:rsidRPr="00F807A9">
              <w:rPr>
                <w:rFonts w:ascii="Times New Roman" w:hAnsi="Times New Roman"/>
              </w:rPr>
              <w:t xml:space="preserve"> whether the residual variance is significantly large);</w:t>
            </w:r>
          </w:p>
          <w:p w14:paraId="17298DEC" w14:textId="77777777" w:rsidR="00167365" w:rsidRDefault="00167365" w:rsidP="00167365">
            <w:pPr>
              <w:pStyle w:val="FootnoteText"/>
              <w:rPr>
                <w:rFonts w:ascii="Times New Roman" w:eastAsia="Times New Roman" w:hAnsi="Times New Roman"/>
              </w:rPr>
            </w:pPr>
            <w:r w:rsidRPr="00F807A9">
              <w:rPr>
                <w:rFonts w:ascii="Times New Roman" w:eastAsia="Times New Roman" w:hAnsi="Times New Roman"/>
              </w:rPr>
              <w:t>80% credibility inter</w:t>
            </w:r>
            <w:r>
              <w:rPr>
                <w:rFonts w:ascii="Times New Roman" w:eastAsia="Times New Roman" w:hAnsi="Times New Roman"/>
              </w:rPr>
              <w:t>vals were calculated using</w:t>
            </w:r>
            <w:r w:rsidRPr="00F807A9">
              <w:rPr>
                <w:rFonts w:ascii="Times New Roman" w:eastAsia="Times New Roman" w:hAnsi="Times New Roman"/>
              </w:rPr>
              <w:t xml:space="preserve"> </w:t>
            </w:r>
            <m:oMath>
              <m:acc>
                <m:accPr>
                  <m:ctrlPr>
                    <w:rPr>
                      <w:rFonts w:ascii="Cambria Math" w:eastAsia="Times New Roman" w:hAnsi="Cambria Math"/>
                      <w:i/>
                      <w:sz w:val="24"/>
                      <w:szCs w:val="24"/>
                      <w:lang w:eastAsia="ar-SA"/>
                    </w:rPr>
                  </m:ctrlPr>
                </m:accPr>
                <m:e>
                  <m:r>
                    <w:rPr>
                      <w:rFonts w:ascii="Cambria Math" w:hAnsi="Cambria Math"/>
                    </w:rPr>
                    <m:t>ρ</m:t>
                  </m:r>
                </m:e>
              </m:acc>
            </m:oMath>
            <w:r w:rsidRPr="00F807A9">
              <w:rPr>
                <w:rFonts w:ascii="Times New Roman" w:eastAsia="Times New Roman" w:hAnsi="Times New Roman"/>
              </w:rPr>
              <w:t xml:space="preserve"> and the standard deviation of </w:t>
            </w:r>
            <m:oMath>
              <m:acc>
                <m:accPr>
                  <m:ctrlPr>
                    <w:rPr>
                      <w:rFonts w:ascii="Cambria Math" w:eastAsia="Times New Roman" w:hAnsi="Cambria Math"/>
                      <w:i/>
                      <w:sz w:val="24"/>
                      <w:szCs w:val="24"/>
                      <w:lang w:eastAsia="ar-SA"/>
                    </w:rPr>
                  </m:ctrlPr>
                </m:accPr>
                <m:e>
                  <m:r>
                    <w:rPr>
                      <w:rFonts w:ascii="Cambria Math" w:hAnsi="Cambria Math"/>
                    </w:rPr>
                    <m:t>ρ</m:t>
                  </m:r>
                </m:e>
              </m:acc>
            </m:oMath>
            <w:r w:rsidRPr="00F807A9">
              <w:rPr>
                <w:rFonts w:ascii="Times New Roman" w:eastAsia="Times New Roman" w:hAnsi="Times New Roman"/>
              </w:rPr>
              <w:t xml:space="preserve">; 95% confidence intervals </w:t>
            </w:r>
            <w:r>
              <w:rPr>
                <w:rFonts w:ascii="Times New Roman" w:eastAsia="Times New Roman" w:hAnsi="Times New Roman"/>
              </w:rPr>
              <w:t xml:space="preserve">were </w:t>
            </w:r>
            <w:r w:rsidRPr="00F807A9">
              <w:rPr>
                <w:rFonts w:ascii="Times New Roman" w:eastAsia="Times New Roman" w:hAnsi="Times New Roman"/>
              </w:rPr>
              <w:t xml:space="preserve">calculated using </w:t>
            </w:r>
            <m:oMath>
              <m:acc>
                <m:accPr>
                  <m:chr m:val="̅"/>
                  <m:ctrlPr>
                    <w:rPr>
                      <w:rFonts w:ascii="Cambria Math" w:hAnsi="Cambria Math"/>
                      <w:i/>
                    </w:rPr>
                  </m:ctrlPr>
                </m:accPr>
                <m:e>
                  <m:r>
                    <w:rPr>
                      <w:rFonts w:ascii="Cambria Math" w:hAnsi="Cambria Math"/>
                    </w:rPr>
                    <m:t>r</m:t>
                  </m:r>
                </m:e>
              </m:acc>
            </m:oMath>
            <w:r w:rsidRPr="00F807A9">
              <w:rPr>
                <w:rFonts w:ascii="Times New Roman" w:eastAsia="Times New Roman" w:hAnsi="Times New Roman"/>
              </w:rPr>
              <w:t xml:space="preserve"> and standard error based on sampling error variance </w:t>
            </w:r>
            <m:oMath>
              <m:sSup>
                <m:sSupPr>
                  <m:ctrlPr>
                    <w:rPr>
                      <w:rFonts w:ascii="Cambria Math" w:eastAsia="SimHei" w:hAnsi="Cambria Math"/>
                      <w:i/>
                    </w:rPr>
                  </m:ctrlPr>
                </m:sSupPr>
                <m:e>
                  <m:sSub>
                    <m:sSubPr>
                      <m:ctrlPr>
                        <w:rPr>
                          <w:rFonts w:ascii="Cambria Math" w:eastAsia="SimHei" w:hAnsi="Cambria Math"/>
                          <w:i/>
                        </w:rPr>
                      </m:ctrlPr>
                    </m:sSubPr>
                    <m:e>
                      <m:r>
                        <w:rPr>
                          <w:rFonts w:ascii="Cambria Math" w:eastAsia="SimHei" w:hAnsi="Cambria Math"/>
                        </w:rPr>
                        <m:t>σ</m:t>
                      </m:r>
                    </m:e>
                    <m:sub>
                      <m:r>
                        <w:rPr>
                          <w:rFonts w:ascii="Cambria Math" w:eastAsia="SimHei" w:hAnsi="Cambria Math"/>
                        </w:rPr>
                        <m:t>e</m:t>
                      </m:r>
                    </m:sub>
                  </m:sSub>
                </m:e>
                <m:sup>
                  <m:r>
                    <w:rPr>
                      <w:rFonts w:ascii="Cambria Math" w:eastAsia="SimHei" w:hAnsi="Cambria Math"/>
                    </w:rPr>
                    <m:t>2</m:t>
                  </m:r>
                </m:sup>
              </m:sSup>
            </m:oMath>
            <w:r w:rsidRPr="00F807A9">
              <w:rPr>
                <w:rFonts w:ascii="Times New Roman" w:eastAsia="Times New Roman" w:hAnsi="Times New Roman"/>
              </w:rPr>
              <w:t xml:space="preserve"> when population effect size variance is zero (i.e.</w:t>
            </w:r>
            <w:r>
              <w:rPr>
                <w:rFonts w:ascii="Times New Roman" w:eastAsia="Times New Roman" w:hAnsi="Times New Roman"/>
              </w:rPr>
              <w:t>,</w:t>
            </w:r>
            <w:r w:rsidRPr="00F807A9">
              <w:rPr>
                <w:rFonts w:ascii="Times New Roman" w:eastAsia="Times New Roman" w:hAnsi="Times New Roman"/>
              </w:rPr>
              <w:t xml:space="preserve"> homogeneous) or using </w:t>
            </w:r>
            <m:oMath>
              <m:acc>
                <m:accPr>
                  <m:chr m:val="̅"/>
                  <m:ctrlPr>
                    <w:rPr>
                      <w:rFonts w:ascii="Cambria Math" w:hAnsi="Cambria Math"/>
                      <w:i/>
                    </w:rPr>
                  </m:ctrlPr>
                </m:accPr>
                <m:e>
                  <m:r>
                    <w:rPr>
                      <w:rFonts w:ascii="Cambria Math" w:hAnsi="Cambria Math"/>
                    </w:rPr>
                    <m:t>r</m:t>
                  </m:r>
                </m:e>
              </m:acc>
            </m:oMath>
            <w:r w:rsidRPr="00F807A9">
              <w:rPr>
                <w:rFonts w:ascii="Times New Roman" w:eastAsia="Times New Roman" w:hAnsi="Times New Roman"/>
              </w:rPr>
              <w:t xml:space="preserve"> and standard error based on the residual variance of correlations after removing sampling error variance (i.e.</w:t>
            </w:r>
            <w:r>
              <w:rPr>
                <w:rFonts w:ascii="Times New Roman" w:eastAsia="Times New Roman" w:hAnsi="Times New Roman"/>
              </w:rPr>
              <w:t>,</w:t>
            </w:r>
            <w:r w:rsidRPr="00F807A9">
              <w:rPr>
                <w:rFonts w:ascii="Times New Roman" w:eastAsia="Times New Roman" w:hAnsi="Times New Roman"/>
              </w:rPr>
              <w:t xml:space="preserve"> heterogeneous) (Whitener, 1990).</w:t>
            </w:r>
          </w:p>
          <w:p w14:paraId="303646EA" w14:textId="77777777" w:rsidR="00167365" w:rsidRDefault="00167365" w:rsidP="00167365">
            <w:pPr>
              <w:pStyle w:val="FootnoteText"/>
              <w:rPr>
                <w:rFonts w:ascii="Times New Roman" w:hAnsi="Times New Roman"/>
              </w:rPr>
            </w:pPr>
            <w:r>
              <w:rPr>
                <w:rStyle w:val="FootnoteReference"/>
                <w:rFonts w:ascii="Times New Roman" w:hAnsi="Times New Roman"/>
              </w:rPr>
              <w:t>1</w:t>
            </w:r>
            <w:r w:rsidRPr="00F807A9">
              <w:rPr>
                <w:rFonts w:ascii="Times New Roman" w:hAnsi="Times New Roman"/>
              </w:rPr>
              <w:t xml:space="preserve"> </w:t>
            </w:r>
            <w:r>
              <w:rPr>
                <w:rFonts w:ascii="Times New Roman" w:hAnsi="Times New Roman"/>
              </w:rPr>
              <w:t>Countries with a median score in our sample for the moderator variable were included in the low category</w:t>
            </w:r>
            <w:r w:rsidRPr="00F807A9">
              <w:rPr>
                <w:rFonts w:ascii="Times New Roman" w:hAnsi="Times New Roman"/>
              </w:rPr>
              <w:t>.</w:t>
            </w:r>
          </w:p>
          <w:p w14:paraId="7D007DB2" w14:textId="75D91A93" w:rsidR="008F50DC" w:rsidRDefault="008F50DC" w:rsidP="00167365">
            <w:pPr>
              <w:pStyle w:val="FootnoteText"/>
              <w:rPr>
                <w:rFonts w:ascii="Times New Roman" w:hAnsi="Times New Roman"/>
              </w:rPr>
            </w:pPr>
            <w:r w:rsidRPr="00431AD3">
              <w:rPr>
                <w:rFonts w:ascii="Times New Roman" w:hAnsi="Times New Roman"/>
                <w:vertAlign w:val="superscript"/>
              </w:rPr>
              <w:t xml:space="preserve">2 </w:t>
            </w:r>
            <w:r>
              <w:rPr>
                <w:rFonts w:ascii="Times New Roman" w:hAnsi="Times New Roman"/>
              </w:rPr>
              <w:t xml:space="preserve">Hunter and Schmidt (2004) method </w:t>
            </w:r>
            <w:r w:rsidR="00F77AB7">
              <w:rPr>
                <w:rFonts w:ascii="Times New Roman" w:hAnsi="Times New Roman"/>
              </w:rPr>
              <w:t xml:space="preserve">cannot compute </w:t>
            </w:r>
            <w:r w:rsidR="00F77AB7" w:rsidRPr="0034606B">
              <w:rPr>
                <w:rFonts w:ascii="Times New Roman" w:hAnsi="Times New Roman"/>
                <w:i/>
              </w:rPr>
              <w:t>SD</w:t>
            </w:r>
            <m:oMath>
              <m:r>
                <w:rPr>
                  <w:rFonts w:ascii="Cambria Math" w:hAnsi="Cambria Math"/>
                </w:rPr>
                <m:t xml:space="preserve"> </m:t>
              </m:r>
              <m:acc>
                <m:accPr>
                  <m:ctrlPr>
                    <w:rPr>
                      <w:rFonts w:ascii="Cambria Math" w:hAnsi="Cambria Math"/>
                      <w:i/>
                    </w:rPr>
                  </m:ctrlPr>
                </m:accPr>
                <m:e>
                  <m:r>
                    <w:rPr>
                      <w:rFonts w:ascii="Cambria Math" w:hAnsi="Cambria Math"/>
                    </w:rPr>
                    <m:t>ρ</m:t>
                  </m:r>
                </m:e>
              </m:acc>
            </m:oMath>
            <w:r w:rsidR="00F77AB7">
              <w:rPr>
                <w:rFonts w:ascii="Times New Roman" w:hAnsi="Times New Roman"/>
                <w:i/>
              </w:rPr>
              <w:t xml:space="preserve"> </w:t>
            </w:r>
            <w:r w:rsidR="00F77AB7">
              <w:rPr>
                <w:rFonts w:ascii="Times New Roman" w:hAnsi="Times New Roman"/>
              </w:rPr>
              <w:t xml:space="preserve">because it </w:t>
            </w:r>
            <w:r>
              <w:rPr>
                <w:rFonts w:ascii="Times New Roman" w:hAnsi="Times New Roman"/>
              </w:rPr>
              <w:t>overestimate</w:t>
            </w:r>
            <w:r w:rsidR="00F77AB7">
              <w:rPr>
                <w:rFonts w:ascii="Times New Roman" w:hAnsi="Times New Roman"/>
              </w:rPr>
              <w:t>s</w:t>
            </w:r>
            <w:r>
              <w:rPr>
                <w:rFonts w:ascii="Times New Roman" w:hAnsi="Times New Roman"/>
              </w:rPr>
              <w:t xml:space="preserve"> variance due to sampling error when N is small (</w:t>
            </w:r>
            <w:proofErr w:type="spellStart"/>
            <w:r>
              <w:rPr>
                <w:rFonts w:ascii="Times New Roman" w:hAnsi="Times New Roman"/>
              </w:rPr>
              <w:t>Brannick</w:t>
            </w:r>
            <w:proofErr w:type="spellEnd"/>
            <w:r>
              <w:rPr>
                <w:rFonts w:ascii="Times New Roman" w:hAnsi="Times New Roman"/>
              </w:rPr>
              <w:t xml:space="preserve"> &amp; Hall, 2001)</w:t>
            </w:r>
          </w:p>
          <w:p w14:paraId="2D4B50FB" w14:textId="77777777" w:rsidR="00167365" w:rsidRPr="009E1F0B" w:rsidRDefault="00167365" w:rsidP="00167365"/>
        </w:tc>
      </w:tr>
    </w:tbl>
    <w:p w14:paraId="229D9A8D" w14:textId="77777777" w:rsidR="008C571D" w:rsidRPr="00F14EC9" w:rsidRDefault="002827BF" w:rsidP="00E36110">
      <w:pPr>
        <w:suppressAutoHyphens w:val="0"/>
        <w:jc w:val="center"/>
      </w:pPr>
      <w:r>
        <w:br w:type="page"/>
      </w:r>
      <w:r w:rsidR="008C571D" w:rsidRPr="00F14EC9">
        <w:lastRenderedPageBreak/>
        <w:t xml:space="preserve">Table </w:t>
      </w:r>
      <w:r w:rsidR="008C571D">
        <w:t>3</w:t>
      </w:r>
    </w:p>
    <w:p w14:paraId="133ED11E" w14:textId="77777777" w:rsidR="008C571D" w:rsidRDefault="008C571D" w:rsidP="008C571D">
      <w:pPr>
        <w:jc w:val="center"/>
      </w:pPr>
      <w:r>
        <w:t xml:space="preserve">Moderation of </w:t>
      </w:r>
      <w:r w:rsidRPr="00164F89">
        <w:t>Gender Egalitarianism National Cultural Practice</w:t>
      </w:r>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45"/>
        <w:gridCol w:w="810"/>
        <w:gridCol w:w="540"/>
        <w:gridCol w:w="630"/>
        <w:gridCol w:w="630"/>
        <w:gridCol w:w="540"/>
        <w:gridCol w:w="630"/>
        <w:gridCol w:w="720"/>
        <w:gridCol w:w="810"/>
        <w:gridCol w:w="1890"/>
        <w:gridCol w:w="1350"/>
        <w:gridCol w:w="1265"/>
      </w:tblGrid>
      <w:tr w:rsidR="00D8145F" w:rsidRPr="00F807A9" w14:paraId="775CF187" w14:textId="77777777" w:rsidTr="00226AB0">
        <w:trPr>
          <w:trHeight w:val="602"/>
        </w:trPr>
        <w:tc>
          <w:tcPr>
            <w:tcW w:w="3145" w:type="dxa"/>
            <w:tcBorders>
              <w:bottom w:val="single" w:sz="4" w:space="0" w:color="auto"/>
            </w:tcBorders>
            <w:vAlign w:val="center"/>
          </w:tcPr>
          <w:p w14:paraId="6BE920B8" w14:textId="77777777" w:rsidR="00D8145F" w:rsidRPr="00F807A9" w:rsidRDefault="00D8145F" w:rsidP="00D8145F">
            <w:pPr>
              <w:jc w:val="center"/>
            </w:pPr>
            <w:r>
              <w:t>Moderator</w:t>
            </w:r>
          </w:p>
        </w:tc>
        <w:tc>
          <w:tcPr>
            <w:tcW w:w="810" w:type="dxa"/>
            <w:tcBorders>
              <w:bottom w:val="single" w:sz="4" w:space="0" w:color="auto"/>
            </w:tcBorders>
            <w:vAlign w:val="center"/>
          </w:tcPr>
          <w:p w14:paraId="69993537" w14:textId="77777777" w:rsidR="00D8145F" w:rsidRPr="00F807A9" w:rsidRDefault="00D8145F" w:rsidP="00D8145F">
            <w:pPr>
              <w:jc w:val="center"/>
              <w:rPr>
                <w:i/>
              </w:rPr>
            </w:pPr>
            <w:r w:rsidRPr="00F807A9">
              <w:rPr>
                <w:i/>
              </w:rPr>
              <w:t>N</w:t>
            </w:r>
          </w:p>
        </w:tc>
        <w:tc>
          <w:tcPr>
            <w:tcW w:w="540" w:type="dxa"/>
            <w:tcBorders>
              <w:bottom w:val="single" w:sz="4" w:space="0" w:color="auto"/>
            </w:tcBorders>
            <w:vAlign w:val="center"/>
          </w:tcPr>
          <w:p w14:paraId="359B8148" w14:textId="77777777" w:rsidR="00D8145F" w:rsidRPr="00F807A9" w:rsidRDefault="00D8145F" w:rsidP="00D8145F">
            <w:pPr>
              <w:jc w:val="center"/>
              <w:rPr>
                <w:i/>
              </w:rPr>
            </w:pPr>
            <w:r w:rsidRPr="00F807A9">
              <w:rPr>
                <w:i/>
              </w:rPr>
              <w:t>k</w:t>
            </w:r>
          </w:p>
        </w:tc>
        <w:tc>
          <w:tcPr>
            <w:tcW w:w="630" w:type="dxa"/>
            <w:tcBorders>
              <w:bottom w:val="single" w:sz="4" w:space="0" w:color="auto"/>
            </w:tcBorders>
            <w:vAlign w:val="center"/>
          </w:tcPr>
          <w:p w14:paraId="29BB7C20" w14:textId="77777777" w:rsidR="00D8145F" w:rsidRPr="00F807A9" w:rsidRDefault="00901446" w:rsidP="00D8145F">
            <w:pPr>
              <w:jc w:val="center"/>
            </w:pPr>
            <m:oMathPara>
              <m:oMath>
                <m:acc>
                  <m:accPr>
                    <m:chr m:val="̅"/>
                    <m:ctrlPr>
                      <w:rPr>
                        <w:rFonts w:ascii="Cambria Math" w:hAnsi="Cambria Math"/>
                        <w:i/>
                      </w:rPr>
                    </m:ctrlPr>
                  </m:accPr>
                  <m:e>
                    <m:r>
                      <w:rPr>
                        <w:rFonts w:ascii="Cambria Math" w:hAnsi="Cambria Math"/>
                      </w:rPr>
                      <m:t>r</m:t>
                    </m:r>
                  </m:e>
                </m:acc>
              </m:oMath>
            </m:oMathPara>
          </w:p>
        </w:tc>
        <w:tc>
          <w:tcPr>
            <w:tcW w:w="630" w:type="dxa"/>
            <w:tcBorders>
              <w:bottom w:val="single" w:sz="4" w:space="0" w:color="auto"/>
            </w:tcBorders>
            <w:vAlign w:val="center"/>
          </w:tcPr>
          <w:p w14:paraId="1895B0B8" w14:textId="77777777" w:rsidR="00D8145F" w:rsidRPr="00F807A9" w:rsidRDefault="00901446" w:rsidP="00D8145F">
            <w:pPr>
              <w:jc w:val="center"/>
              <w:rPr>
                <w:rFonts w:ascii="Calibri" w:eastAsia="Calibri" w:hAnsi="Calibri"/>
              </w:rPr>
            </w:pPr>
            <m:oMathPara>
              <m:oMath>
                <m:acc>
                  <m:accPr>
                    <m:ctrlPr>
                      <w:rPr>
                        <w:rFonts w:ascii="Cambria Math" w:hAnsi="Cambria Math"/>
                        <w:i/>
                      </w:rPr>
                    </m:ctrlPr>
                  </m:accPr>
                  <m:e>
                    <m:r>
                      <w:rPr>
                        <w:rFonts w:ascii="Cambria Math" w:hAnsi="Cambria Math"/>
                      </w:rPr>
                      <m:t>ρ</m:t>
                    </m:r>
                  </m:e>
                </m:acc>
              </m:oMath>
            </m:oMathPara>
          </w:p>
        </w:tc>
        <w:tc>
          <w:tcPr>
            <w:tcW w:w="540" w:type="dxa"/>
            <w:tcBorders>
              <w:bottom w:val="single" w:sz="4" w:space="0" w:color="auto"/>
            </w:tcBorders>
            <w:vAlign w:val="center"/>
          </w:tcPr>
          <w:p w14:paraId="41A93532" w14:textId="77777777" w:rsidR="00D8145F" w:rsidRPr="00F807A9" w:rsidRDefault="00901446" w:rsidP="00D8145F">
            <w:pPr>
              <w:jc w:val="center"/>
            </w:pPr>
            <m:oMathPara>
              <m:oMath>
                <m:sSup>
                  <m:sSupPr>
                    <m:ctrlPr>
                      <w:rPr>
                        <w:rFonts w:ascii="Cambria Math" w:eastAsia="SimHei" w:hAnsi="Cambria Math"/>
                        <w:i/>
                      </w:rPr>
                    </m:ctrlPr>
                  </m:sSupPr>
                  <m:e>
                    <m:sSub>
                      <m:sSubPr>
                        <m:ctrlPr>
                          <w:rPr>
                            <w:rFonts w:ascii="Cambria Math" w:eastAsia="SimHei" w:hAnsi="Cambria Math"/>
                            <w:i/>
                          </w:rPr>
                        </m:ctrlPr>
                      </m:sSubPr>
                      <m:e>
                        <m:r>
                          <w:rPr>
                            <w:rFonts w:ascii="Cambria Math" w:eastAsia="SimHei" w:hAnsi="Cambria Math"/>
                          </w:rPr>
                          <m:t>σ</m:t>
                        </m:r>
                      </m:e>
                      <m:sub>
                        <m:r>
                          <w:rPr>
                            <w:rFonts w:ascii="Cambria Math" w:eastAsia="SimHei" w:hAnsi="Cambria Math"/>
                          </w:rPr>
                          <m:t>r</m:t>
                        </m:r>
                      </m:sub>
                    </m:sSub>
                  </m:e>
                  <m:sup>
                    <m:r>
                      <w:rPr>
                        <w:rFonts w:ascii="Cambria Math" w:eastAsia="SimHei" w:hAnsi="Cambria Math"/>
                      </w:rPr>
                      <m:t>2</m:t>
                    </m:r>
                  </m:sup>
                </m:sSup>
              </m:oMath>
            </m:oMathPara>
          </w:p>
        </w:tc>
        <w:tc>
          <w:tcPr>
            <w:tcW w:w="630" w:type="dxa"/>
            <w:tcBorders>
              <w:bottom w:val="single" w:sz="4" w:space="0" w:color="auto"/>
            </w:tcBorders>
            <w:vAlign w:val="center"/>
          </w:tcPr>
          <w:p w14:paraId="136A9B67" w14:textId="77777777" w:rsidR="00D8145F" w:rsidRPr="00F807A9" w:rsidRDefault="00901446" w:rsidP="00D8145F">
            <w:pPr>
              <w:jc w:val="center"/>
            </w:pPr>
            <m:oMathPara>
              <m:oMath>
                <m:sSup>
                  <m:sSupPr>
                    <m:ctrlPr>
                      <w:rPr>
                        <w:rFonts w:ascii="Cambria Math" w:eastAsia="SimHei" w:hAnsi="Cambria Math"/>
                        <w:i/>
                      </w:rPr>
                    </m:ctrlPr>
                  </m:sSupPr>
                  <m:e>
                    <m:sSub>
                      <m:sSubPr>
                        <m:ctrlPr>
                          <w:rPr>
                            <w:rFonts w:ascii="Cambria Math" w:eastAsia="SimHei" w:hAnsi="Cambria Math"/>
                            <w:i/>
                          </w:rPr>
                        </m:ctrlPr>
                      </m:sSubPr>
                      <m:e>
                        <m:r>
                          <w:rPr>
                            <w:rFonts w:ascii="Cambria Math" w:eastAsia="SimHei" w:hAnsi="Cambria Math"/>
                          </w:rPr>
                          <m:t>σ</m:t>
                        </m:r>
                      </m:e>
                      <m:sub>
                        <m:r>
                          <w:rPr>
                            <w:rFonts w:ascii="Cambria Math" w:eastAsia="SimHei" w:hAnsi="Cambria Math"/>
                          </w:rPr>
                          <m:t>e</m:t>
                        </m:r>
                      </m:sub>
                    </m:sSub>
                  </m:e>
                  <m:sup>
                    <m:r>
                      <w:rPr>
                        <w:rFonts w:ascii="Cambria Math" w:eastAsia="SimHei" w:hAnsi="Cambria Math"/>
                      </w:rPr>
                      <m:t>2</m:t>
                    </m:r>
                  </m:sup>
                </m:sSup>
              </m:oMath>
            </m:oMathPara>
          </w:p>
        </w:tc>
        <w:tc>
          <w:tcPr>
            <w:tcW w:w="720" w:type="dxa"/>
            <w:tcBorders>
              <w:bottom w:val="single" w:sz="4" w:space="0" w:color="auto"/>
            </w:tcBorders>
          </w:tcPr>
          <w:p w14:paraId="7BD888E5" w14:textId="77777777" w:rsidR="00D8145F" w:rsidRDefault="00D8145F" w:rsidP="00D8145F">
            <w:pPr>
              <w:jc w:val="center"/>
              <w:rPr>
                <w:i/>
              </w:rPr>
            </w:pPr>
          </w:p>
          <w:p w14:paraId="3D08A829" w14:textId="77777777" w:rsidR="00D8145F" w:rsidRPr="00F807A9" w:rsidRDefault="00D8145F" w:rsidP="00D8145F">
            <w:pPr>
              <w:jc w:val="center"/>
            </w:pPr>
            <w:r w:rsidRPr="004903E8">
              <w:rPr>
                <w:i/>
              </w:rPr>
              <w:t>SD</w:t>
            </w:r>
            <w:r>
              <w:rPr>
                <w:i/>
              </w:rPr>
              <w:t xml:space="preserve"> </w:t>
            </w:r>
            <m:oMath>
              <m:acc>
                <m:accPr>
                  <m:chr m:val="̅"/>
                  <m:ctrlPr>
                    <w:rPr>
                      <w:rFonts w:ascii="Cambria Math" w:hAnsi="Cambria Math"/>
                      <w:i/>
                    </w:rPr>
                  </m:ctrlPr>
                </m:accPr>
                <m:e>
                  <m:r>
                    <w:rPr>
                      <w:rFonts w:ascii="Cambria Math" w:hAnsi="Cambria Math"/>
                    </w:rPr>
                    <m:t>r</m:t>
                  </m:r>
                </m:e>
              </m:acc>
            </m:oMath>
          </w:p>
        </w:tc>
        <w:tc>
          <w:tcPr>
            <w:tcW w:w="810" w:type="dxa"/>
            <w:tcBorders>
              <w:bottom w:val="single" w:sz="4" w:space="0" w:color="auto"/>
            </w:tcBorders>
          </w:tcPr>
          <w:p w14:paraId="10280730" w14:textId="77777777" w:rsidR="00D8145F" w:rsidRDefault="00D8145F" w:rsidP="00D8145F">
            <w:pPr>
              <w:jc w:val="center"/>
              <w:rPr>
                <w:i/>
              </w:rPr>
            </w:pPr>
          </w:p>
          <w:p w14:paraId="6AA86B31" w14:textId="77777777" w:rsidR="00D8145F" w:rsidRDefault="00D8145F" w:rsidP="00D8145F">
            <w:pPr>
              <w:jc w:val="center"/>
            </w:pPr>
            <w:r w:rsidRPr="004903E8">
              <w:rPr>
                <w:i/>
              </w:rPr>
              <w:t>SD</w:t>
            </w:r>
            <m:oMath>
              <m:r>
                <w:rPr>
                  <w:rFonts w:ascii="Cambria Math" w:hAnsi="Cambria Math"/>
                </w:rPr>
                <m:t xml:space="preserve"> </m:t>
              </m:r>
              <m:acc>
                <m:accPr>
                  <m:ctrlPr>
                    <w:rPr>
                      <w:rFonts w:ascii="Cambria Math" w:hAnsi="Cambria Math"/>
                      <w:i/>
                    </w:rPr>
                  </m:ctrlPr>
                </m:accPr>
                <m:e>
                  <m:r>
                    <w:rPr>
                      <w:rFonts w:ascii="Cambria Math" w:hAnsi="Cambria Math"/>
                    </w:rPr>
                    <m:t>ρ</m:t>
                  </m:r>
                </m:e>
              </m:acc>
            </m:oMath>
          </w:p>
          <w:p w14:paraId="5A251DD3" w14:textId="77777777" w:rsidR="00D8145F" w:rsidRPr="00F807A9" w:rsidRDefault="00D8145F" w:rsidP="00D8145F">
            <w:pPr>
              <w:jc w:val="center"/>
            </w:pPr>
          </w:p>
        </w:tc>
        <w:tc>
          <w:tcPr>
            <w:tcW w:w="1890" w:type="dxa"/>
            <w:tcBorders>
              <w:bottom w:val="single" w:sz="4" w:space="0" w:color="auto"/>
            </w:tcBorders>
            <w:vAlign w:val="center"/>
          </w:tcPr>
          <w:p w14:paraId="5CF61E7D" w14:textId="77777777" w:rsidR="00D8145F" w:rsidRPr="00F807A9" w:rsidRDefault="00D8145F" w:rsidP="00D8145F">
            <w:pPr>
              <w:jc w:val="center"/>
            </w:pPr>
            <w:r w:rsidRPr="00F807A9">
              <w:t>χ</w:t>
            </w:r>
            <w:r w:rsidRPr="00F807A9">
              <w:rPr>
                <w:vertAlign w:val="superscript"/>
              </w:rPr>
              <w:t>2</w:t>
            </w:r>
            <w:r>
              <w:t xml:space="preserve"> test</w:t>
            </w:r>
          </w:p>
        </w:tc>
        <w:tc>
          <w:tcPr>
            <w:tcW w:w="1350" w:type="dxa"/>
            <w:tcBorders>
              <w:bottom w:val="single" w:sz="4" w:space="0" w:color="auto"/>
            </w:tcBorders>
            <w:vAlign w:val="center"/>
          </w:tcPr>
          <w:p w14:paraId="68FC7E65" w14:textId="77777777" w:rsidR="00D8145F" w:rsidRPr="00F807A9" w:rsidRDefault="00D8145F" w:rsidP="00D8145F">
            <w:pPr>
              <w:jc w:val="center"/>
            </w:pPr>
            <w:r w:rsidRPr="00F807A9">
              <w:t>80% credibility interval</w:t>
            </w:r>
          </w:p>
        </w:tc>
        <w:tc>
          <w:tcPr>
            <w:tcW w:w="1265" w:type="dxa"/>
            <w:tcBorders>
              <w:bottom w:val="single" w:sz="4" w:space="0" w:color="auto"/>
            </w:tcBorders>
            <w:vAlign w:val="center"/>
          </w:tcPr>
          <w:p w14:paraId="3989D27E" w14:textId="77777777" w:rsidR="00D8145F" w:rsidRPr="00F807A9" w:rsidRDefault="00D8145F" w:rsidP="00D8145F">
            <w:pPr>
              <w:jc w:val="center"/>
            </w:pPr>
            <w:r w:rsidRPr="00F807A9">
              <w:t>95% confidence interval</w:t>
            </w:r>
          </w:p>
        </w:tc>
      </w:tr>
      <w:tr w:rsidR="008C571D" w14:paraId="0A6F0399" w14:textId="77777777" w:rsidTr="008C571D">
        <w:trPr>
          <w:trHeight w:val="288"/>
        </w:trPr>
        <w:tc>
          <w:tcPr>
            <w:tcW w:w="12960" w:type="dxa"/>
            <w:gridSpan w:val="12"/>
            <w:tcBorders>
              <w:top w:val="single" w:sz="4" w:space="0" w:color="auto"/>
              <w:left w:val="nil"/>
              <w:bottom w:val="nil"/>
              <w:right w:val="nil"/>
            </w:tcBorders>
          </w:tcPr>
          <w:p w14:paraId="43AACC5E" w14:textId="77777777" w:rsidR="008C571D" w:rsidRPr="00697F59" w:rsidRDefault="008C571D" w:rsidP="008C571D">
            <w:pPr>
              <w:jc w:val="center"/>
              <w:rPr>
                <w:b/>
              </w:rPr>
            </w:pPr>
            <w:r w:rsidRPr="00697F59">
              <w:rPr>
                <w:b/>
              </w:rPr>
              <w:t>Job Attitudes</w:t>
            </w:r>
          </w:p>
        </w:tc>
      </w:tr>
      <w:tr w:rsidR="00C27A73" w:rsidRPr="00886A6D" w14:paraId="763C3288" w14:textId="77777777" w:rsidTr="00226AB0">
        <w:trPr>
          <w:trHeight w:val="200"/>
        </w:trPr>
        <w:tc>
          <w:tcPr>
            <w:tcW w:w="3145" w:type="dxa"/>
            <w:tcBorders>
              <w:top w:val="single" w:sz="4" w:space="0" w:color="auto"/>
              <w:left w:val="nil"/>
              <w:bottom w:val="nil"/>
              <w:right w:val="nil"/>
            </w:tcBorders>
            <w:vAlign w:val="center"/>
          </w:tcPr>
          <w:p w14:paraId="5FE9C911" w14:textId="77777777" w:rsidR="00C27A73" w:rsidRPr="00886A6D" w:rsidRDefault="00C27A73" w:rsidP="008C571D">
            <w:r w:rsidRPr="00886A6D">
              <w:t xml:space="preserve">Gender Egalitarianism Practice </w:t>
            </w:r>
          </w:p>
          <w:p w14:paraId="26D36BC4" w14:textId="77777777" w:rsidR="00C27A73" w:rsidRPr="00886A6D" w:rsidRDefault="00C27A73" w:rsidP="008C571D">
            <w:r w:rsidRPr="00886A6D">
              <w:t xml:space="preserve">   Band A</w:t>
            </w:r>
          </w:p>
        </w:tc>
        <w:tc>
          <w:tcPr>
            <w:tcW w:w="810" w:type="dxa"/>
            <w:tcBorders>
              <w:top w:val="single" w:sz="4" w:space="0" w:color="auto"/>
              <w:left w:val="nil"/>
              <w:bottom w:val="nil"/>
              <w:right w:val="nil"/>
            </w:tcBorders>
            <w:vAlign w:val="center"/>
          </w:tcPr>
          <w:p w14:paraId="17DA08D6" w14:textId="77777777" w:rsidR="00C27A73" w:rsidRPr="00886A6D" w:rsidRDefault="00C27A73" w:rsidP="008C571D">
            <w:pPr>
              <w:jc w:val="center"/>
              <w:rPr>
                <w:i/>
              </w:rPr>
            </w:pPr>
            <w:r w:rsidRPr="00886A6D">
              <w:t xml:space="preserve">  2,334</w:t>
            </w:r>
          </w:p>
        </w:tc>
        <w:tc>
          <w:tcPr>
            <w:tcW w:w="540" w:type="dxa"/>
            <w:tcBorders>
              <w:top w:val="single" w:sz="4" w:space="0" w:color="auto"/>
              <w:left w:val="nil"/>
              <w:bottom w:val="nil"/>
              <w:right w:val="nil"/>
            </w:tcBorders>
            <w:vAlign w:val="center"/>
          </w:tcPr>
          <w:p w14:paraId="2291A9EC" w14:textId="77777777" w:rsidR="00C27A73" w:rsidRPr="00886A6D" w:rsidRDefault="00C27A73" w:rsidP="008C571D">
            <w:pPr>
              <w:jc w:val="center"/>
              <w:rPr>
                <w:i/>
              </w:rPr>
            </w:pPr>
            <w:r w:rsidRPr="00886A6D">
              <w:t>5</w:t>
            </w:r>
          </w:p>
        </w:tc>
        <w:tc>
          <w:tcPr>
            <w:tcW w:w="630" w:type="dxa"/>
            <w:tcBorders>
              <w:top w:val="single" w:sz="4" w:space="0" w:color="auto"/>
              <w:left w:val="nil"/>
              <w:bottom w:val="nil"/>
              <w:right w:val="nil"/>
            </w:tcBorders>
            <w:vAlign w:val="center"/>
          </w:tcPr>
          <w:p w14:paraId="493094B5" w14:textId="77777777" w:rsidR="00C27A73" w:rsidRPr="00886A6D" w:rsidRDefault="00C27A73" w:rsidP="008C571D">
            <w:pPr>
              <w:jc w:val="center"/>
              <w:rPr>
                <w:i/>
              </w:rPr>
            </w:pPr>
            <w:r w:rsidRPr="00886A6D">
              <w:t>-.31</w:t>
            </w:r>
          </w:p>
        </w:tc>
        <w:tc>
          <w:tcPr>
            <w:tcW w:w="630" w:type="dxa"/>
            <w:tcBorders>
              <w:top w:val="single" w:sz="4" w:space="0" w:color="auto"/>
              <w:left w:val="nil"/>
              <w:bottom w:val="nil"/>
              <w:right w:val="nil"/>
            </w:tcBorders>
            <w:vAlign w:val="center"/>
          </w:tcPr>
          <w:p w14:paraId="67C5B2A7" w14:textId="77777777" w:rsidR="00C27A73" w:rsidRPr="00886A6D" w:rsidRDefault="00C27A73" w:rsidP="008C571D">
            <w:pPr>
              <w:jc w:val="center"/>
              <w:rPr>
                <w:rFonts w:ascii="Cambria Math" w:hAnsi="Cambria Math" w:cs="Calibri"/>
                <w:i/>
              </w:rPr>
            </w:pPr>
            <w:r w:rsidRPr="00886A6D">
              <w:t>-.36</w:t>
            </w:r>
          </w:p>
        </w:tc>
        <w:tc>
          <w:tcPr>
            <w:tcW w:w="540" w:type="dxa"/>
            <w:tcBorders>
              <w:top w:val="single" w:sz="4" w:space="0" w:color="auto"/>
              <w:left w:val="nil"/>
              <w:bottom w:val="nil"/>
              <w:right w:val="nil"/>
            </w:tcBorders>
            <w:vAlign w:val="center"/>
          </w:tcPr>
          <w:p w14:paraId="266394C6" w14:textId="77777777" w:rsidR="00C27A73" w:rsidRPr="00886A6D" w:rsidRDefault="00C27A73" w:rsidP="008C571D">
            <w:pPr>
              <w:jc w:val="center"/>
              <w:rPr>
                <w:rFonts w:ascii="Calibri" w:eastAsia="Calibri" w:hAnsi="Calibri"/>
              </w:rPr>
            </w:pPr>
            <w:r w:rsidRPr="00886A6D">
              <w:t>.017</w:t>
            </w:r>
          </w:p>
        </w:tc>
        <w:tc>
          <w:tcPr>
            <w:tcW w:w="630" w:type="dxa"/>
            <w:tcBorders>
              <w:top w:val="single" w:sz="4" w:space="0" w:color="auto"/>
              <w:left w:val="nil"/>
              <w:bottom w:val="nil"/>
              <w:right w:val="nil"/>
            </w:tcBorders>
            <w:vAlign w:val="center"/>
          </w:tcPr>
          <w:p w14:paraId="554F3D2E" w14:textId="77777777" w:rsidR="00C27A73" w:rsidRPr="00886A6D" w:rsidRDefault="00C27A73" w:rsidP="008C571D">
            <w:pPr>
              <w:jc w:val="center"/>
            </w:pPr>
            <w:r w:rsidRPr="00886A6D">
              <w:t>.002</w:t>
            </w:r>
          </w:p>
        </w:tc>
        <w:tc>
          <w:tcPr>
            <w:tcW w:w="720" w:type="dxa"/>
            <w:tcBorders>
              <w:top w:val="single" w:sz="4" w:space="0" w:color="auto"/>
              <w:left w:val="nil"/>
              <w:bottom w:val="nil"/>
              <w:right w:val="nil"/>
            </w:tcBorders>
            <w:vAlign w:val="center"/>
          </w:tcPr>
          <w:p w14:paraId="5BEAF1F7" w14:textId="77777777" w:rsidR="00C27A73" w:rsidRPr="00886A6D" w:rsidRDefault="0013023B" w:rsidP="008C571D">
            <w:pPr>
              <w:jc w:val="center"/>
            </w:pPr>
            <w:r>
              <w:t>.130</w:t>
            </w:r>
          </w:p>
        </w:tc>
        <w:tc>
          <w:tcPr>
            <w:tcW w:w="810" w:type="dxa"/>
            <w:tcBorders>
              <w:top w:val="single" w:sz="4" w:space="0" w:color="auto"/>
              <w:left w:val="nil"/>
              <w:bottom w:val="nil"/>
              <w:right w:val="nil"/>
            </w:tcBorders>
            <w:vAlign w:val="center"/>
          </w:tcPr>
          <w:p w14:paraId="5F516BEB" w14:textId="77777777" w:rsidR="00C27A73" w:rsidRPr="00886A6D" w:rsidRDefault="0013023B" w:rsidP="008C571D">
            <w:pPr>
              <w:jc w:val="center"/>
            </w:pPr>
            <w:r>
              <w:t>.145</w:t>
            </w:r>
          </w:p>
        </w:tc>
        <w:tc>
          <w:tcPr>
            <w:tcW w:w="1890" w:type="dxa"/>
            <w:tcBorders>
              <w:top w:val="single" w:sz="4" w:space="0" w:color="auto"/>
              <w:left w:val="nil"/>
              <w:bottom w:val="nil"/>
              <w:right w:val="nil"/>
            </w:tcBorders>
            <w:vAlign w:val="center"/>
          </w:tcPr>
          <w:p w14:paraId="51A5F262" w14:textId="3DDE2889" w:rsidR="00C27A73" w:rsidRPr="00886A6D" w:rsidRDefault="00DC1F6E" w:rsidP="00226AB0">
            <w:pPr>
              <w:jc w:val="center"/>
            </w:pPr>
            <w:r>
              <w:t>41.74</w:t>
            </w:r>
            <w:r w:rsidR="00226AB0">
              <w:t xml:space="preserve">, </w:t>
            </w:r>
            <w:r w:rsidR="00226AB0" w:rsidRPr="00DF18D0">
              <w:rPr>
                <w:i/>
              </w:rPr>
              <w:t>p</w:t>
            </w:r>
            <w:r w:rsidR="00226AB0">
              <w:t xml:space="preserve"> = .000</w:t>
            </w:r>
          </w:p>
        </w:tc>
        <w:tc>
          <w:tcPr>
            <w:tcW w:w="1350" w:type="dxa"/>
            <w:tcBorders>
              <w:top w:val="single" w:sz="4" w:space="0" w:color="auto"/>
              <w:left w:val="nil"/>
              <w:bottom w:val="nil"/>
              <w:right w:val="nil"/>
            </w:tcBorders>
            <w:vAlign w:val="center"/>
          </w:tcPr>
          <w:p w14:paraId="66507589" w14:textId="77777777" w:rsidR="00C27A73" w:rsidRPr="00886A6D" w:rsidRDefault="00C27A73" w:rsidP="008C571D">
            <w:pPr>
              <w:jc w:val="center"/>
            </w:pPr>
            <w:r w:rsidRPr="00886A6D">
              <w:t>-.55 : -.18</w:t>
            </w:r>
          </w:p>
        </w:tc>
        <w:tc>
          <w:tcPr>
            <w:tcW w:w="1265" w:type="dxa"/>
            <w:tcBorders>
              <w:top w:val="single" w:sz="4" w:space="0" w:color="auto"/>
              <w:left w:val="nil"/>
              <w:bottom w:val="nil"/>
              <w:right w:val="nil"/>
            </w:tcBorders>
            <w:vAlign w:val="center"/>
          </w:tcPr>
          <w:p w14:paraId="37BA041A" w14:textId="77777777" w:rsidR="00C27A73" w:rsidRPr="00886A6D" w:rsidRDefault="00C27A73" w:rsidP="008C571D">
            <w:pPr>
              <w:jc w:val="center"/>
            </w:pPr>
            <w:r w:rsidRPr="00886A6D">
              <w:t>-.34 : -.27</w:t>
            </w:r>
          </w:p>
        </w:tc>
      </w:tr>
      <w:tr w:rsidR="00C27A73" w:rsidRPr="00F807A9" w14:paraId="5C64E622" w14:textId="77777777" w:rsidTr="00226AB0">
        <w:trPr>
          <w:trHeight w:val="93"/>
        </w:trPr>
        <w:tc>
          <w:tcPr>
            <w:tcW w:w="3145" w:type="dxa"/>
            <w:tcBorders>
              <w:top w:val="nil"/>
              <w:left w:val="nil"/>
              <w:bottom w:val="nil"/>
              <w:right w:val="nil"/>
            </w:tcBorders>
            <w:vAlign w:val="center"/>
          </w:tcPr>
          <w:p w14:paraId="7E6B8A7B" w14:textId="77777777" w:rsidR="00C27A73" w:rsidRPr="00886A6D" w:rsidRDefault="00C27A73" w:rsidP="008C571D">
            <w:r w:rsidRPr="00886A6D">
              <w:t xml:space="preserve">Gender Egalitarianism Practice </w:t>
            </w:r>
          </w:p>
          <w:p w14:paraId="7EAC9348" w14:textId="77777777" w:rsidR="00C27A73" w:rsidRPr="00886A6D" w:rsidRDefault="00C27A73" w:rsidP="008C571D">
            <w:r w:rsidRPr="00886A6D">
              <w:t xml:space="preserve">   Band B</w:t>
            </w:r>
          </w:p>
        </w:tc>
        <w:tc>
          <w:tcPr>
            <w:tcW w:w="810" w:type="dxa"/>
            <w:tcBorders>
              <w:top w:val="nil"/>
              <w:left w:val="nil"/>
              <w:bottom w:val="nil"/>
              <w:right w:val="nil"/>
            </w:tcBorders>
            <w:vAlign w:val="center"/>
          </w:tcPr>
          <w:p w14:paraId="3D9B2213" w14:textId="77777777" w:rsidR="00C27A73" w:rsidRPr="00886A6D" w:rsidRDefault="00C27A73" w:rsidP="008C571D">
            <w:pPr>
              <w:jc w:val="center"/>
            </w:pPr>
            <w:r w:rsidRPr="00886A6D">
              <w:t>29,795</w:t>
            </w:r>
          </w:p>
        </w:tc>
        <w:tc>
          <w:tcPr>
            <w:tcW w:w="540" w:type="dxa"/>
            <w:tcBorders>
              <w:top w:val="nil"/>
              <w:left w:val="nil"/>
              <w:bottom w:val="nil"/>
              <w:right w:val="nil"/>
            </w:tcBorders>
            <w:vAlign w:val="center"/>
          </w:tcPr>
          <w:p w14:paraId="0377028E" w14:textId="77777777" w:rsidR="00C27A73" w:rsidRPr="00886A6D" w:rsidRDefault="00C27A73" w:rsidP="008C571D">
            <w:pPr>
              <w:jc w:val="center"/>
            </w:pPr>
            <w:r w:rsidRPr="00886A6D">
              <w:t>30</w:t>
            </w:r>
          </w:p>
        </w:tc>
        <w:tc>
          <w:tcPr>
            <w:tcW w:w="630" w:type="dxa"/>
            <w:tcBorders>
              <w:top w:val="nil"/>
              <w:left w:val="nil"/>
              <w:bottom w:val="nil"/>
              <w:right w:val="nil"/>
            </w:tcBorders>
            <w:vAlign w:val="center"/>
          </w:tcPr>
          <w:p w14:paraId="07A9B84A" w14:textId="77777777" w:rsidR="00C27A73" w:rsidRPr="00886A6D" w:rsidRDefault="00C27A73" w:rsidP="008C571D">
            <w:pPr>
              <w:jc w:val="center"/>
            </w:pPr>
            <w:r w:rsidRPr="00886A6D">
              <w:t>-.23</w:t>
            </w:r>
          </w:p>
        </w:tc>
        <w:tc>
          <w:tcPr>
            <w:tcW w:w="630" w:type="dxa"/>
            <w:tcBorders>
              <w:top w:val="nil"/>
              <w:left w:val="nil"/>
              <w:bottom w:val="nil"/>
              <w:right w:val="nil"/>
            </w:tcBorders>
            <w:vAlign w:val="center"/>
          </w:tcPr>
          <w:p w14:paraId="150F92ED" w14:textId="77777777" w:rsidR="00C27A73" w:rsidRPr="00886A6D" w:rsidRDefault="00C27A73" w:rsidP="008C571D">
            <w:pPr>
              <w:jc w:val="center"/>
            </w:pPr>
            <w:r w:rsidRPr="00886A6D">
              <w:t>-.28</w:t>
            </w:r>
          </w:p>
        </w:tc>
        <w:tc>
          <w:tcPr>
            <w:tcW w:w="540" w:type="dxa"/>
            <w:tcBorders>
              <w:top w:val="nil"/>
              <w:left w:val="nil"/>
              <w:bottom w:val="nil"/>
              <w:right w:val="nil"/>
            </w:tcBorders>
            <w:vAlign w:val="center"/>
          </w:tcPr>
          <w:p w14:paraId="11844FBD" w14:textId="77777777" w:rsidR="00C27A73" w:rsidRPr="00886A6D" w:rsidRDefault="00C27A73" w:rsidP="008C571D">
            <w:pPr>
              <w:jc w:val="center"/>
            </w:pPr>
            <w:r w:rsidRPr="00886A6D">
              <w:t>.023</w:t>
            </w:r>
          </w:p>
        </w:tc>
        <w:tc>
          <w:tcPr>
            <w:tcW w:w="630" w:type="dxa"/>
            <w:tcBorders>
              <w:top w:val="nil"/>
              <w:left w:val="nil"/>
              <w:bottom w:val="nil"/>
              <w:right w:val="nil"/>
            </w:tcBorders>
            <w:vAlign w:val="center"/>
          </w:tcPr>
          <w:p w14:paraId="1BF3BDA2" w14:textId="77777777" w:rsidR="00C27A73" w:rsidRPr="00886A6D" w:rsidRDefault="00C27A73" w:rsidP="008C571D">
            <w:pPr>
              <w:jc w:val="center"/>
            </w:pPr>
            <w:r w:rsidRPr="00886A6D">
              <w:t>.001</w:t>
            </w:r>
          </w:p>
        </w:tc>
        <w:tc>
          <w:tcPr>
            <w:tcW w:w="720" w:type="dxa"/>
            <w:tcBorders>
              <w:top w:val="nil"/>
              <w:left w:val="nil"/>
              <w:bottom w:val="nil"/>
              <w:right w:val="nil"/>
            </w:tcBorders>
            <w:vAlign w:val="center"/>
          </w:tcPr>
          <w:p w14:paraId="70BEBDA0" w14:textId="77777777" w:rsidR="00C27A73" w:rsidRPr="00886A6D" w:rsidRDefault="0006082F" w:rsidP="008C571D">
            <w:pPr>
              <w:jc w:val="center"/>
            </w:pPr>
            <w:r>
              <w:t>.152</w:t>
            </w:r>
          </w:p>
        </w:tc>
        <w:tc>
          <w:tcPr>
            <w:tcW w:w="810" w:type="dxa"/>
            <w:tcBorders>
              <w:top w:val="nil"/>
              <w:left w:val="nil"/>
              <w:bottom w:val="nil"/>
              <w:right w:val="nil"/>
            </w:tcBorders>
            <w:vAlign w:val="center"/>
          </w:tcPr>
          <w:p w14:paraId="607D91CB" w14:textId="77777777" w:rsidR="00C27A73" w:rsidRPr="00886A6D" w:rsidRDefault="0006082F" w:rsidP="008C571D">
            <w:pPr>
              <w:jc w:val="center"/>
            </w:pPr>
            <w:r>
              <w:t>.176</w:t>
            </w:r>
          </w:p>
        </w:tc>
        <w:tc>
          <w:tcPr>
            <w:tcW w:w="1890" w:type="dxa"/>
            <w:tcBorders>
              <w:top w:val="nil"/>
              <w:left w:val="nil"/>
              <w:bottom w:val="nil"/>
              <w:right w:val="nil"/>
            </w:tcBorders>
            <w:vAlign w:val="center"/>
          </w:tcPr>
          <w:p w14:paraId="4C4EFD86" w14:textId="57AED1DD" w:rsidR="00C27A73" w:rsidRPr="00886A6D" w:rsidRDefault="00C27A73" w:rsidP="005D3BC1">
            <w:pPr>
              <w:jc w:val="center"/>
            </w:pPr>
            <w:r w:rsidRPr="00886A6D">
              <w:t>65</w:t>
            </w:r>
            <w:r w:rsidR="005D3BC1">
              <w:t>4</w:t>
            </w:r>
            <w:r w:rsidRPr="00886A6D">
              <w:t>.</w:t>
            </w:r>
            <w:r w:rsidR="005D3BC1">
              <w:t>57</w:t>
            </w:r>
            <w:r w:rsidR="00226AB0">
              <w:t xml:space="preserve">, </w:t>
            </w:r>
            <w:r w:rsidR="00226AB0" w:rsidRPr="00DF18D0">
              <w:rPr>
                <w:i/>
              </w:rPr>
              <w:t>p</w:t>
            </w:r>
            <w:r w:rsidR="00226AB0">
              <w:t xml:space="preserve"> = .000</w:t>
            </w:r>
          </w:p>
        </w:tc>
        <w:tc>
          <w:tcPr>
            <w:tcW w:w="1350" w:type="dxa"/>
            <w:tcBorders>
              <w:top w:val="nil"/>
              <w:left w:val="nil"/>
              <w:bottom w:val="nil"/>
              <w:right w:val="nil"/>
            </w:tcBorders>
            <w:vAlign w:val="center"/>
          </w:tcPr>
          <w:p w14:paraId="0D60E349" w14:textId="77777777" w:rsidR="00C27A73" w:rsidRPr="00886A6D" w:rsidRDefault="00C27A73" w:rsidP="008C571D">
            <w:pPr>
              <w:jc w:val="center"/>
            </w:pPr>
            <w:r w:rsidRPr="00886A6D">
              <w:t>-.50 : -.05</w:t>
            </w:r>
          </w:p>
        </w:tc>
        <w:tc>
          <w:tcPr>
            <w:tcW w:w="1265" w:type="dxa"/>
            <w:tcBorders>
              <w:top w:val="nil"/>
              <w:left w:val="nil"/>
              <w:bottom w:val="nil"/>
              <w:right w:val="nil"/>
            </w:tcBorders>
            <w:vAlign w:val="center"/>
          </w:tcPr>
          <w:p w14:paraId="58FC26AF" w14:textId="77777777" w:rsidR="00C27A73" w:rsidRPr="00886A6D" w:rsidRDefault="00C27A73" w:rsidP="008C571D">
            <w:pPr>
              <w:jc w:val="center"/>
            </w:pPr>
            <w:r w:rsidRPr="00886A6D">
              <w:t>-.25 : -.22</w:t>
            </w:r>
          </w:p>
        </w:tc>
      </w:tr>
      <w:tr w:rsidR="00C27A73" w:rsidRPr="008E36A4" w14:paraId="6E7D2505" w14:textId="77777777" w:rsidTr="00226AB0">
        <w:trPr>
          <w:trHeight w:val="93"/>
        </w:trPr>
        <w:tc>
          <w:tcPr>
            <w:tcW w:w="3145" w:type="dxa"/>
            <w:tcBorders>
              <w:top w:val="nil"/>
              <w:left w:val="nil"/>
              <w:bottom w:val="nil"/>
              <w:right w:val="nil"/>
            </w:tcBorders>
            <w:vAlign w:val="center"/>
          </w:tcPr>
          <w:p w14:paraId="25DD8909" w14:textId="77777777" w:rsidR="00C27A73" w:rsidRPr="008E36A4" w:rsidRDefault="00C27A73" w:rsidP="008C571D">
            <w:r w:rsidRPr="008E36A4">
              <w:t>Gender Egalitarianism Practice</w:t>
            </w:r>
          </w:p>
          <w:p w14:paraId="3EDEDA36" w14:textId="77777777" w:rsidR="00C27A73" w:rsidRPr="008E36A4" w:rsidRDefault="00C27A73" w:rsidP="008C571D">
            <w:r w:rsidRPr="008E36A4">
              <w:t xml:space="preserve">  Band C</w:t>
            </w:r>
          </w:p>
        </w:tc>
        <w:tc>
          <w:tcPr>
            <w:tcW w:w="810" w:type="dxa"/>
            <w:tcBorders>
              <w:top w:val="nil"/>
              <w:left w:val="nil"/>
              <w:bottom w:val="nil"/>
              <w:right w:val="nil"/>
            </w:tcBorders>
            <w:vAlign w:val="center"/>
          </w:tcPr>
          <w:p w14:paraId="06662F73" w14:textId="77777777" w:rsidR="00C27A73" w:rsidRPr="008E36A4" w:rsidRDefault="00C27A73" w:rsidP="008C571D">
            <w:pPr>
              <w:jc w:val="center"/>
            </w:pPr>
            <w:r w:rsidRPr="008E36A4">
              <w:t>1,953</w:t>
            </w:r>
          </w:p>
        </w:tc>
        <w:tc>
          <w:tcPr>
            <w:tcW w:w="540" w:type="dxa"/>
            <w:tcBorders>
              <w:top w:val="nil"/>
              <w:left w:val="nil"/>
              <w:bottom w:val="nil"/>
              <w:right w:val="nil"/>
            </w:tcBorders>
            <w:vAlign w:val="center"/>
          </w:tcPr>
          <w:p w14:paraId="1936FC7C" w14:textId="77777777" w:rsidR="00C27A73" w:rsidRPr="008E36A4" w:rsidRDefault="00C27A73" w:rsidP="008C571D">
            <w:pPr>
              <w:jc w:val="center"/>
            </w:pPr>
            <w:r w:rsidRPr="008E36A4">
              <w:t>2</w:t>
            </w:r>
          </w:p>
        </w:tc>
        <w:tc>
          <w:tcPr>
            <w:tcW w:w="630" w:type="dxa"/>
            <w:tcBorders>
              <w:top w:val="nil"/>
              <w:left w:val="nil"/>
              <w:bottom w:val="nil"/>
              <w:right w:val="nil"/>
            </w:tcBorders>
            <w:vAlign w:val="center"/>
          </w:tcPr>
          <w:p w14:paraId="6D80F33E" w14:textId="77777777" w:rsidR="00C27A73" w:rsidRPr="008E36A4" w:rsidRDefault="00C27A73" w:rsidP="008C571D">
            <w:pPr>
              <w:jc w:val="center"/>
            </w:pPr>
            <w:r w:rsidRPr="008E36A4">
              <w:t>-.18</w:t>
            </w:r>
          </w:p>
        </w:tc>
        <w:tc>
          <w:tcPr>
            <w:tcW w:w="630" w:type="dxa"/>
            <w:tcBorders>
              <w:top w:val="nil"/>
              <w:left w:val="nil"/>
              <w:bottom w:val="nil"/>
              <w:right w:val="nil"/>
            </w:tcBorders>
            <w:vAlign w:val="center"/>
          </w:tcPr>
          <w:p w14:paraId="07007555" w14:textId="77777777" w:rsidR="00C27A73" w:rsidRPr="008E36A4" w:rsidRDefault="00C27A73" w:rsidP="008C571D">
            <w:pPr>
              <w:jc w:val="center"/>
            </w:pPr>
            <w:r w:rsidRPr="008E36A4">
              <w:t>-.21</w:t>
            </w:r>
          </w:p>
        </w:tc>
        <w:tc>
          <w:tcPr>
            <w:tcW w:w="540" w:type="dxa"/>
            <w:tcBorders>
              <w:top w:val="nil"/>
              <w:left w:val="nil"/>
              <w:bottom w:val="nil"/>
              <w:right w:val="nil"/>
            </w:tcBorders>
            <w:vAlign w:val="center"/>
          </w:tcPr>
          <w:p w14:paraId="37A1EF42" w14:textId="77777777" w:rsidR="00C27A73" w:rsidRPr="008E36A4" w:rsidRDefault="00C27A73" w:rsidP="00356ABA">
            <w:pPr>
              <w:jc w:val="center"/>
            </w:pPr>
            <w:r w:rsidRPr="008E36A4">
              <w:t>.0</w:t>
            </w:r>
            <w:r w:rsidR="00356ABA">
              <w:t>0</w:t>
            </w:r>
            <w:r w:rsidRPr="008E36A4">
              <w:t>0</w:t>
            </w:r>
          </w:p>
        </w:tc>
        <w:tc>
          <w:tcPr>
            <w:tcW w:w="630" w:type="dxa"/>
            <w:tcBorders>
              <w:top w:val="nil"/>
              <w:left w:val="nil"/>
              <w:bottom w:val="nil"/>
              <w:right w:val="nil"/>
            </w:tcBorders>
            <w:vAlign w:val="center"/>
          </w:tcPr>
          <w:p w14:paraId="5A64855A" w14:textId="77777777" w:rsidR="00C27A73" w:rsidRPr="008E36A4" w:rsidRDefault="00C27A73" w:rsidP="008C571D">
            <w:pPr>
              <w:jc w:val="center"/>
            </w:pPr>
            <w:r w:rsidRPr="008E36A4">
              <w:t>.001</w:t>
            </w:r>
          </w:p>
        </w:tc>
        <w:tc>
          <w:tcPr>
            <w:tcW w:w="720" w:type="dxa"/>
            <w:tcBorders>
              <w:top w:val="nil"/>
              <w:left w:val="nil"/>
              <w:bottom w:val="nil"/>
              <w:right w:val="nil"/>
            </w:tcBorders>
            <w:vAlign w:val="center"/>
          </w:tcPr>
          <w:p w14:paraId="5D5CA762" w14:textId="77777777" w:rsidR="00C27A73" w:rsidRPr="008E36A4" w:rsidRDefault="00356ABA" w:rsidP="008C571D">
            <w:pPr>
              <w:jc w:val="center"/>
            </w:pPr>
            <w:r>
              <w:t>.020</w:t>
            </w:r>
          </w:p>
        </w:tc>
        <w:tc>
          <w:tcPr>
            <w:tcW w:w="810" w:type="dxa"/>
            <w:tcBorders>
              <w:top w:val="nil"/>
              <w:left w:val="nil"/>
              <w:bottom w:val="nil"/>
              <w:right w:val="nil"/>
            </w:tcBorders>
            <w:vAlign w:val="center"/>
          </w:tcPr>
          <w:p w14:paraId="468E44B3" w14:textId="77777777" w:rsidR="00C27A73" w:rsidRPr="008E36A4" w:rsidRDefault="00356ABA" w:rsidP="008C571D">
            <w:pPr>
              <w:jc w:val="center"/>
            </w:pPr>
            <w:r>
              <w:t>.000</w:t>
            </w:r>
          </w:p>
        </w:tc>
        <w:tc>
          <w:tcPr>
            <w:tcW w:w="1890" w:type="dxa"/>
            <w:tcBorders>
              <w:top w:val="nil"/>
              <w:left w:val="nil"/>
              <w:bottom w:val="nil"/>
              <w:right w:val="nil"/>
            </w:tcBorders>
            <w:vAlign w:val="center"/>
          </w:tcPr>
          <w:p w14:paraId="5AEE68A8" w14:textId="77777777" w:rsidR="00C27A73" w:rsidRPr="008E36A4" w:rsidRDefault="00C27A73" w:rsidP="00226AB0">
            <w:pPr>
              <w:jc w:val="center"/>
            </w:pPr>
            <w:r w:rsidRPr="008E36A4">
              <w:t>.77</w:t>
            </w:r>
            <w:r w:rsidR="00226AB0">
              <w:t xml:space="preserve">, </w:t>
            </w:r>
            <w:r w:rsidR="00226AB0" w:rsidRPr="00DF18D0">
              <w:rPr>
                <w:i/>
              </w:rPr>
              <w:t>p</w:t>
            </w:r>
            <w:r w:rsidR="00226AB0">
              <w:t xml:space="preserve"> = .380</w:t>
            </w:r>
          </w:p>
        </w:tc>
        <w:tc>
          <w:tcPr>
            <w:tcW w:w="1350" w:type="dxa"/>
            <w:tcBorders>
              <w:top w:val="nil"/>
              <w:left w:val="nil"/>
              <w:bottom w:val="nil"/>
              <w:right w:val="nil"/>
            </w:tcBorders>
            <w:vAlign w:val="center"/>
          </w:tcPr>
          <w:p w14:paraId="0731E8E0" w14:textId="0D8E3507" w:rsidR="00C27A73" w:rsidRPr="008E36A4" w:rsidRDefault="00C27A73" w:rsidP="008C571D">
            <w:pPr>
              <w:jc w:val="center"/>
            </w:pPr>
            <w:r w:rsidRPr="008E36A4">
              <w:t>-.21 : -.21</w:t>
            </w:r>
            <w:r w:rsidR="00AA19E8" w:rsidRPr="007C1078">
              <w:rPr>
                <w:vertAlign w:val="superscript"/>
              </w:rPr>
              <w:t>1</w:t>
            </w:r>
          </w:p>
        </w:tc>
        <w:tc>
          <w:tcPr>
            <w:tcW w:w="1265" w:type="dxa"/>
            <w:tcBorders>
              <w:top w:val="nil"/>
              <w:left w:val="nil"/>
              <w:bottom w:val="nil"/>
              <w:right w:val="nil"/>
            </w:tcBorders>
            <w:vAlign w:val="center"/>
          </w:tcPr>
          <w:p w14:paraId="20BF85CF" w14:textId="77777777" w:rsidR="00C27A73" w:rsidRPr="008E36A4" w:rsidRDefault="00C27A73" w:rsidP="008C571D">
            <w:pPr>
              <w:jc w:val="center"/>
            </w:pPr>
            <w:r w:rsidRPr="008E36A4">
              <w:t>-.22 : -.14</w:t>
            </w:r>
          </w:p>
        </w:tc>
      </w:tr>
      <w:tr w:rsidR="008C571D" w:rsidRPr="00F807A9" w14:paraId="399DD8E0" w14:textId="77777777" w:rsidTr="008C571D">
        <w:trPr>
          <w:trHeight w:val="288"/>
        </w:trPr>
        <w:tc>
          <w:tcPr>
            <w:tcW w:w="12960" w:type="dxa"/>
            <w:gridSpan w:val="12"/>
            <w:tcBorders>
              <w:top w:val="single" w:sz="4" w:space="0" w:color="auto"/>
              <w:left w:val="nil"/>
              <w:bottom w:val="single" w:sz="4" w:space="0" w:color="auto"/>
              <w:right w:val="nil"/>
            </w:tcBorders>
          </w:tcPr>
          <w:p w14:paraId="52023451" w14:textId="77777777" w:rsidR="008C571D" w:rsidRPr="00F807A9" w:rsidRDefault="008C571D" w:rsidP="008C571D">
            <w:pPr>
              <w:jc w:val="center"/>
            </w:pPr>
            <w:r w:rsidRPr="00BF005B">
              <w:rPr>
                <w:b/>
              </w:rPr>
              <w:t>Physical Health Outcomes and Behaviors</w:t>
            </w:r>
          </w:p>
        </w:tc>
      </w:tr>
      <w:tr w:rsidR="00C27A73" w:rsidRPr="00F807A9" w14:paraId="03FDE8EC" w14:textId="77777777" w:rsidTr="00226AB0">
        <w:trPr>
          <w:trHeight w:val="288"/>
        </w:trPr>
        <w:tc>
          <w:tcPr>
            <w:tcW w:w="3145" w:type="dxa"/>
            <w:tcBorders>
              <w:top w:val="single" w:sz="4" w:space="0" w:color="auto"/>
              <w:left w:val="nil"/>
              <w:bottom w:val="nil"/>
              <w:right w:val="nil"/>
            </w:tcBorders>
            <w:vAlign w:val="center"/>
          </w:tcPr>
          <w:p w14:paraId="7795CDDB" w14:textId="77777777" w:rsidR="00C27A73" w:rsidRDefault="00C27A73" w:rsidP="008C571D">
            <w:r>
              <w:t xml:space="preserve">Gender Egalitarianism Practice </w:t>
            </w:r>
          </w:p>
          <w:p w14:paraId="49074B83" w14:textId="77777777" w:rsidR="00C27A73" w:rsidRDefault="00C27A73" w:rsidP="008C571D">
            <w:r>
              <w:t xml:space="preserve">   Band A</w:t>
            </w:r>
          </w:p>
        </w:tc>
        <w:tc>
          <w:tcPr>
            <w:tcW w:w="810" w:type="dxa"/>
            <w:tcBorders>
              <w:top w:val="single" w:sz="4" w:space="0" w:color="auto"/>
              <w:left w:val="nil"/>
              <w:bottom w:val="nil"/>
              <w:right w:val="nil"/>
            </w:tcBorders>
            <w:vAlign w:val="center"/>
          </w:tcPr>
          <w:p w14:paraId="37E8AB4B" w14:textId="77777777" w:rsidR="00C27A73" w:rsidRDefault="00C27A73" w:rsidP="008C571D">
            <w:pPr>
              <w:jc w:val="center"/>
            </w:pPr>
            <w:r>
              <w:t xml:space="preserve">  2,189</w:t>
            </w:r>
          </w:p>
        </w:tc>
        <w:tc>
          <w:tcPr>
            <w:tcW w:w="540" w:type="dxa"/>
            <w:tcBorders>
              <w:top w:val="single" w:sz="4" w:space="0" w:color="auto"/>
              <w:left w:val="nil"/>
              <w:bottom w:val="nil"/>
              <w:right w:val="nil"/>
            </w:tcBorders>
            <w:vAlign w:val="center"/>
          </w:tcPr>
          <w:p w14:paraId="740039C1" w14:textId="77777777" w:rsidR="00C27A73" w:rsidRDefault="00C27A73" w:rsidP="008C571D">
            <w:pPr>
              <w:jc w:val="center"/>
            </w:pPr>
            <w:r>
              <w:t>2</w:t>
            </w:r>
          </w:p>
        </w:tc>
        <w:tc>
          <w:tcPr>
            <w:tcW w:w="630" w:type="dxa"/>
            <w:tcBorders>
              <w:top w:val="single" w:sz="4" w:space="0" w:color="auto"/>
              <w:left w:val="nil"/>
              <w:bottom w:val="nil"/>
              <w:right w:val="nil"/>
            </w:tcBorders>
            <w:vAlign w:val="center"/>
          </w:tcPr>
          <w:p w14:paraId="47B49554" w14:textId="77777777" w:rsidR="00C27A73" w:rsidRDefault="00C27A73" w:rsidP="008C571D">
            <w:pPr>
              <w:jc w:val="center"/>
            </w:pPr>
            <w:r>
              <w:t>-.26</w:t>
            </w:r>
          </w:p>
        </w:tc>
        <w:tc>
          <w:tcPr>
            <w:tcW w:w="630" w:type="dxa"/>
            <w:tcBorders>
              <w:top w:val="single" w:sz="4" w:space="0" w:color="auto"/>
              <w:left w:val="nil"/>
              <w:bottom w:val="nil"/>
              <w:right w:val="nil"/>
            </w:tcBorders>
            <w:vAlign w:val="center"/>
          </w:tcPr>
          <w:p w14:paraId="75D186DD" w14:textId="77777777" w:rsidR="00C27A73" w:rsidRDefault="00C27A73" w:rsidP="008C571D">
            <w:pPr>
              <w:jc w:val="center"/>
            </w:pPr>
            <w:r>
              <w:t>-.31</w:t>
            </w:r>
          </w:p>
        </w:tc>
        <w:tc>
          <w:tcPr>
            <w:tcW w:w="540" w:type="dxa"/>
            <w:tcBorders>
              <w:top w:val="single" w:sz="4" w:space="0" w:color="auto"/>
              <w:left w:val="nil"/>
              <w:bottom w:val="nil"/>
              <w:right w:val="nil"/>
            </w:tcBorders>
            <w:vAlign w:val="center"/>
          </w:tcPr>
          <w:p w14:paraId="022FB3D7" w14:textId="77777777" w:rsidR="00C27A73" w:rsidRDefault="00C27A73" w:rsidP="008C571D">
            <w:pPr>
              <w:jc w:val="center"/>
            </w:pPr>
            <w:r>
              <w:t>.000</w:t>
            </w:r>
          </w:p>
        </w:tc>
        <w:tc>
          <w:tcPr>
            <w:tcW w:w="630" w:type="dxa"/>
            <w:tcBorders>
              <w:top w:val="single" w:sz="4" w:space="0" w:color="auto"/>
              <w:left w:val="nil"/>
              <w:bottom w:val="nil"/>
              <w:right w:val="nil"/>
            </w:tcBorders>
            <w:vAlign w:val="center"/>
          </w:tcPr>
          <w:p w14:paraId="7B12F3C7" w14:textId="77777777" w:rsidR="00C27A73" w:rsidRDefault="00C27A73" w:rsidP="008C571D">
            <w:pPr>
              <w:jc w:val="center"/>
            </w:pPr>
            <w:r>
              <w:t>.001</w:t>
            </w:r>
          </w:p>
        </w:tc>
        <w:tc>
          <w:tcPr>
            <w:tcW w:w="720" w:type="dxa"/>
            <w:tcBorders>
              <w:top w:val="single" w:sz="4" w:space="0" w:color="auto"/>
              <w:left w:val="nil"/>
              <w:bottom w:val="nil"/>
              <w:right w:val="nil"/>
            </w:tcBorders>
            <w:vAlign w:val="center"/>
          </w:tcPr>
          <w:p w14:paraId="211F0DBC" w14:textId="77777777" w:rsidR="00C27A73" w:rsidRDefault="00FE0C19" w:rsidP="008C571D">
            <w:pPr>
              <w:jc w:val="center"/>
            </w:pPr>
            <w:r>
              <w:t>.000</w:t>
            </w:r>
          </w:p>
        </w:tc>
        <w:tc>
          <w:tcPr>
            <w:tcW w:w="810" w:type="dxa"/>
            <w:tcBorders>
              <w:top w:val="single" w:sz="4" w:space="0" w:color="auto"/>
              <w:left w:val="nil"/>
              <w:bottom w:val="nil"/>
              <w:right w:val="nil"/>
            </w:tcBorders>
            <w:vAlign w:val="center"/>
          </w:tcPr>
          <w:p w14:paraId="3F5EBA31" w14:textId="77777777" w:rsidR="00C27A73" w:rsidRDefault="00FE0C19" w:rsidP="008C571D">
            <w:pPr>
              <w:jc w:val="center"/>
            </w:pPr>
            <w:r>
              <w:t>.000</w:t>
            </w:r>
          </w:p>
        </w:tc>
        <w:tc>
          <w:tcPr>
            <w:tcW w:w="1890" w:type="dxa"/>
            <w:tcBorders>
              <w:top w:val="single" w:sz="4" w:space="0" w:color="auto"/>
              <w:left w:val="nil"/>
              <w:bottom w:val="nil"/>
              <w:right w:val="nil"/>
            </w:tcBorders>
            <w:vAlign w:val="center"/>
          </w:tcPr>
          <w:p w14:paraId="3019BBEC" w14:textId="77777777" w:rsidR="00C27A73" w:rsidRDefault="00C27A73" w:rsidP="008C571D">
            <w:pPr>
              <w:jc w:val="center"/>
            </w:pPr>
            <w:r>
              <w:t>.00</w:t>
            </w:r>
            <w:r w:rsidR="00226AB0">
              <w:t xml:space="preserve">, </w:t>
            </w:r>
            <w:r w:rsidR="00226AB0" w:rsidRPr="00DF18D0">
              <w:rPr>
                <w:i/>
              </w:rPr>
              <w:t>p</w:t>
            </w:r>
            <w:r w:rsidR="00226AB0">
              <w:t xml:space="preserve"> = 1.000</w:t>
            </w:r>
          </w:p>
        </w:tc>
        <w:tc>
          <w:tcPr>
            <w:tcW w:w="1350" w:type="dxa"/>
            <w:tcBorders>
              <w:top w:val="single" w:sz="4" w:space="0" w:color="auto"/>
              <w:left w:val="nil"/>
              <w:bottom w:val="nil"/>
              <w:right w:val="nil"/>
            </w:tcBorders>
            <w:vAlign w:val="center"/>
          </w:tcPr>
          <w:p w14:paraId="664B2992" w14:textId="1D1F6E71" w:rsidR="00C27A73" w:rsidRDefault="00C27A73" w:rsidP="008C571D">
            <w:pPr>
              <w:jc w:val="center"/>
            </w:pPr>
            <w:r>
              <w:t>-.31 : -.31</w:t>
            </w:r>
            <w:r w:rsidR="00AA19E8" w:rsidRPr="007C1078">
              <w:rPr>
                <w:vertAlign w:val="superscript"/>
              </w:rPr>
              <w:t>1</w:t>
            </w:r>
          </w:p>
        </w:tc>
        <w:tc>
          <w:tcPr>
            <w:tcW w:w="1265" w:type="dxa"/>
            <w:tcBorders>
              <w:top w:val="single" w:sz="4" w:space="0" w:color="auto"/>
              <w:left w:val="nil"/>
              <w:bottom w:val="nil"/>
              <w:right w:val="nil"/>
            </w:tcBorders>
            <w:vAlign w:val="center"/>
          </w:tcPr>
          <w:p w14:paraId="6C86A1E6" w14:textId="77777777" w:rsidR="00C27A73" w:rsidRDefault="00C27A73" w:rsidP="008C571D">
            <w:pPr>
              <w:jc w:val="center"/>
            </w:pPr>
            <w:r>
              <w:t>-.30 : -.22</w:t>
            </w:r>
          </w:p>
        </w:tc>
      </w:tr>
      <w:tr w:rsidR="00C27A73" w:rsidRPr="00F807A9" w14:paraId="3ADE60BF" w14:textId="77777777" w:rsidTr="00226AB0">
        <w:trPr>
          <w:trHeight w:val="288"/>
        </w:trPr>
        <w:tc>
          <w:tcPr>
            <w:tcW w:w="3145" w:type="dxa"/>
            <w:tcBorders>
              <w:top w:val="nil"/>
              <w:left w:val="nil"/>
              <w:bottom w:val="nil"/>
              <w:right w:val="nil"/>
            </w:tcBorders>
            <w:vAlign w:val="center"/>
          </w:tcPr>
          <w:p w14:paraId="3EDD5CA8" w14:textId="77777777" w:rsidR="00C27A73" w:rsidRDefault="00C27A73" w:rsidP="008C571D">
            <w:r>
              <w:t xml:space="preserve">Gender Egalitarianism Practice </w:t>
            </w:r>
          </w:p>
          <w:p w14:paraId="4D387857" w14:textId="77777777" w:rsidR="00C27A73" w:rsidRPr="003E6EE8" w:rsidRDefault="00C27A73" w:rsidP="008C571D">
            <w:r>
              <w:t xml:space="preserve">   Band B</w:t>
            </w:r>
          </w:p>
        </w:tc>
        <w:tc>
          <w:tcPr>
            <w:tcW w:w="810" w:type="dxa"/>
            <w:tcBorders>
              <w:top w:val="nil"/>
              <w:left w:val="nil"/>
              <w:bottom w:val="nil"/>
              <w:right w:val="nil"/>
            </w:tcBorders>
            <w:vAlign w:val="center"/>
          </w:tcPr>
          <w:p w14:paraId="0A6D7D3F" w14:textId="77777777" w:rsidR="00C27A73" w:rsidRPr="00F807A9" w:rsidRDefault="00C27A73" w:rsidP="008C571D">
            <w:pPr>
              <w:jc w:val="center"/>
            </w:pPr>
            <w:r>
              <w:t>12,920</w:t>
            </w:r>
          </w:p>
        </w:tc>
        <w:tc>
          <w:tcPr>
            <w:tcW w:w="540" w:type="dxa"/>
            <w:tcBorders>
              <w:top w:val="nil"/>
              <w:left w:val="nil"/>
              <w:bottom w:val="nil"/>
              <w:right w:val="nil"/>
            </w:tcBorders>
            <w:vAlign w:val="center"/>
          </w:tcPr>
          <w:p w14:paraId="256A92FC" w14:textId="77777777" w:rsidR="00C27A73" w:rsidRPr="00F807A9" w:rsidRDefault="00C27A73" w:rsidP="008C571D">
            <w:pPr>
              <w:jc w:val="center"/>
            </w:pPr>
            <w:r>
              <w:t>8</w:t>
            </w:r>
          </w:p>
        </w:tc>
        <w:tc>
          <w:tcPr>
            <w:tcW w:w="630" w:type="dxa"/>
            <w:tcBorders>
              <w:top w:val="nil"/>
              <w:left w:val="nil"/>
              <w:bottom w:val="nil"/>
              <w:right w:val="nil"/>
            </w:tcBorders>
            <w:vAlign w:val="center"/>
          </w:tcPr>
          <w:p w14:paraId="049590C3" w14:textId="77777777" w:rsidR="00C27A73" w:rsidRPr="00F807A9" w:rsidRDefault="00C27A73" w:rsidP="008C571D">
            <w:pPr>
              <w:jc w:val="center"/>
            </w:pPr>
            <w:r>
              <w:t>-.14</w:t>
            </w:r>
          </w:p>
        </w:tc>
        <w:tc>
          <w:tcPr>
            <w:tcW w:w="630" w:type="dxa"/>
            <w:tcBorders>
              <w:top w:val="nil"/>
              <w:left w:val="nil"/>
              <w:bottom w:val="nil"/>
              <w:right w:val="nil"/>
            </w:tcBorders>
            <w:vAlign w:val="center"/>
          </w:tcPr>
          <w:p w14:paraId="78DF39B1" w14:textId="77777777" w:rsidR="00C27A73" w:rsidRPr="00F807A9" w:rsidRDefault="00C27A73" w:rsidP="008C571D">
            <w:pPr>
              <w:jc w:val="center"/>
            </w:pPr>
            <w:r>
              <w:t>-.17</w:t>
            </w:r>
          </w:p>
        </w:tc>
        <w:tc>
          <w:tcPr>
            <w:tcW w:w="540" w:type="dxa"/>
            <w:tcBorders>
              <w:top w:val="nil"/>
              <w:left w:val="nil"/>
              <w:bottom w:val="nil"/>
              <w:right w:val="nil"/>
            </w:tcBorders>
            <w:vAlign w:val="center"/>
          </w:tcPr>
          <w:p w14:paraId="26B525A0" w14:textId="77777777" w:rsidR="00C27A73" w:rsidRPr="00F807A9" w:rsidRDefault="00C27A73" w:rsidP="008C571D">
            <w:pPr>
              <w:jc w:val="center"/>
            </w:pPr>
            <w:r>
              <w:t>.002</w:t>
            </w:r>
          </w:p>
        </w:tc>
        <w:tc>
          <w:tcPr>
            <w:tcW w:w="630" w:type="dxa"/>
            <w:tcBorders>
              <w:top w:val="nil"/>
              <w:left w:val="nil"/>
              <w:bottom w:val="nil"/>
              <w:right w:val="nil"/>
            </w:tcBorders>
            <w:vAlign w:val="center"/>
          </w:tcPr>
          <w:p w14:paraId="0E713B60" w14:textId="77777777" w:rsidR="00C27A73" w:rsidRPr="00F807A9" w:rsidRDefault="00C27A73" w:rsidP="008C571D">
            <w:pPr>
              <w:jc w:val="center"/>
            </w:pPr>
            <w:r>
              <w:t>.001</w:t>
            </w:r>
          </w:p>
        </w:tc>
        <w:tc>
          <w:tcPr>
            <w:tcW w:w="720" w:type="dxa"/>
            <w:tcBorders>
              <w:top w:val="nil"/>
              <w:left w:val="nil"/>
              <w:bottom w:val="nil"/>
              <w:right w:val="nil"/>
            </w:tcBorders>
            <w:vAlign w:val="center"/>
          </w:tcPr>
          <w:p w14:paraId="28FF99F5" w14:textId="77777777" w:rsidR="00C27A73" w:rsidRPr="00F807A9" w:rsidRDefault="000D098D" w:rsidP="008C571D">
            <w:pPr>
              <w:jc w:val="center"/>
            </w:pPr>
            <w:r>
              <w:t>.047</w:t>
            </w:r>
          </w:p>
        </w:tc>
        <w:tc>
          <w:tcPr>
            <w:tcW w:w="810" w:type="dxa"/>
            <w:tcBorders>
              <w:top w:val="nil"/>
              <w:left w:val="nil"/>
              <w:bottom w:val="nil"/>
              <w:right w:val="nil"/>
            </w:tcBorders>
            <w:vAlign w:val="center"/>
          </w:tcPr>
          <w:p w14:paraId="70C21BCD" w14:textId="77777777" w:rsidR="00C27A73" w:rsidRPr="00F807A9" w:rsidRDefault="000D098D" w:rsidP="008C571D">
            <w:pPr>
              <w:jc w:val="center"/>
            </w:pPr>
            <w:r>
              <w:t>.048</w:t>
            </w:r>
          </w:p>
        </w:tc>
        <w:tc>
          <w:tcPr>
            <w:tcW w:w="1890" w:type="dxa"/>
            <w:tcBorders>
              <w:top w:val="nil"/>
              <w:left w:val="nil"/>
              <w:bottom w:val="nil"/>
              <w:right w:val="nil"/>
            </w:tcBorders>
            <w:vAlign w:val="center"/>
          </w:tcPr>
          <w:p w14:paraId="61B17278" w14:textId="316F7F07" w:rsidR="00C27A73" w:rsidRDefault="005E365D" w:rsidP="005E365D">
            <w:pPr>
              <w:jc w:val="center"/>
            </w:pPr>
            <w:r>
              <w:t>27</w:t>
            </w:r>
            <w:r w:rsidR="00C27A73">
              <w:t>.</w:t>
            </w:r>
            <w:r>
              <w:t>10</w:t>
            </w:r>
            <w:r w:rsidR="00226AB0">
              <w:t xml:space="preserve">, </w:t>
            </w:r>
            <w:r w:rsidR="00226AB0" w:rsidRPr="00DF18D0">
              <w:rPr>
                <w:i/>
              </w:rPr>
              <w:t>p</w:t>
            </w:r>
            <w:r w:rsidR="00226AB0">
              <w:t xml:space="preserve"> = .000</w:t>
            </w:r>
          </w:p>
        </w:tc>
        <w:tc>
          <w:tcPr>
            <w:tcW w:w="1350" w:type="dxa"/>
            <w:tcBorders>
              <w:top w:val="nil"/>
              <w:left w:val="nil"/>
              <w:bottom w:val="nil"/>
              <w:right w:val="nil"/>
            </w:tcBorders>
            <w:vAlign w:val="center"/>
          </w:tcPr>
          <w:p w14:paraId="6F814E1E" w14:textId="77777777" w:rsidR="00C27A73" w:rsidRPr="00F807A9" w:rsidRDefault="00C27A73" w:rsidP="008C571D">
            <w:pPr>
              <w:jc w:val="center"/>
            </w:pPr>
            <w:r>
              <w:t>-.23 : -.11</w:t>
            </w:r>
          </w:p>
        </w:tc>
        <w:tc>
          <w:tcPr>
            <w:tcW w:w="1265" w:type="dxa"/>
            <w:tcBorders>
              <w:top w:val="nil"/>
              <w:left w:val="nil"/>
              <w:bottom w:val="nil"/>
              <w:right w:val="nil"/>
            </w:tcBorders>
            <w:vAlign w:val="center"/>
          </w:tcPr>
          <w:p w14:paraId="4E9EBDA6" w14:textId="77777777" w:rsidR="00C27A73" w:rsidRPr="00F807A9" w:rsidRDefault="00C27A73" w:rsidP="008C571D">
            <w:pPr>
              <w:jc w:val="center"/>
            </w:pPr>
            <w:r>
              <w:t>-.16 : -.12</w:t>
            </w:r>
          </w:p>
        </w:tc>
      </w:tr>
      <w:tr w:rsidR="008C571D" w:rsidRPr="00F807A9" w14:paraId="2670796D" w14:textId="77777777" w:rsidTr="008C571D">
        <w:trPr>
          <w:trHeight w:val="288"/>
        </w:trPr>
        <w:tc>
          <w:tcPr>
            <w:tcW w:w="12960" w:type="dxa"/>
            <w:gridSpan w:val="12"/>
            <w:tcBorders>
              <w:top w:val="single" w:sz="4" w:space="0" w:color="auto"/>
              <w:left w:val="nil"/>
              <w:bottom w:val="single" w:sz="4" w:space="0" w:color="auto"/>
              <w:right w:val="nil"/>
            </w:tcBorders>
          </w:tcPr>
          <w:p w14:paraId="00325842" w14:textId="77777777" w:rsidR="008C571D" w:rsidRPr="00203B3A" w:rsidRDefault="008C571D" w:rsidP="008C571D">
            <w:pPr>
              <w:jc w:val="center"/>
              <w:rPr>
                <w:b/>
              </w:rPr>
            </w:pPr>
            <w:r w:rsidRPr="00203B3A">
              <w:rPr>
                <w:b/>
              </w:rPr>
              <w:t>Psychological</w:t>
            </w:r>
            <w:r>
              <w:rPr>
                <w:b/>
              </w:rPr>
              <w:t xml:space="preserve"> Health</w:t>
            </w:r>
          </w:p>
        </w:tc>
      </w:tr>
      <w:tr w:rsidR="00C27A73" w:rsidRPr="00F807A9" w14:paraId="5CC9D10A" w14:textId="77777777" w:rsidTr="00226AB0">
        <w:trPr>
          <w:trHeight w:val="288"/>
        </w:trPr>
        <w:tc>
          <w:tcPr>
            <w:tcW w:w="3145" w:type="dxa"/>
            <w:tcBorders>
              <w:top w:val="single" w:sz="4" w:space="0" w:color="auto"/>
              <w:left w:val="nil"/>
              <w:bottom w:val="nil"/>
              <w:right w:val="nil"/>
            </w:tcBorders>
            <w:vAlign w:val="center"/>
          </w:tcPr>
          <w:p w14:paraId="43EF0CD6" w14:textId="77777777" w:rsidR="00C27A73" w:rsidRDefault="00C27A73" w:rsidP="008C571D">
            <w:r>
              <w:t xml:space="preserve">Gender Egalitarianism Practice </w:t>
            </w:r>
          </w:p>
          <w:p w14:paraId="44CC457C" w14:textId="77777777" w:rsidR="00C27A73" w:rsidRDefault="00C27A73" w:rsidP="008C571D">
            <w:r>
              <w:t xml:space="preserve">   Band A</w:t>
            </w:r>
          </w:p>
        </w:tc>
        <w:tc>
          <w:tcPr>
            <w:tcW w:w="810" w:type="dxa"/>
            <w:tcBorders>
              <w:top w:val="single" w:sz="4" w:space="0" w:color="auto"/>
              <w:left w:val="nil"/>
              <w:bottom w:val="nil"/>
              <w:right w:val="nil"/>
            </w:tcBorders>
            <w:vAlign w:val="center"/>
          </w:tcPr>
          <w:p w14:paraId="6B92746B" w14:textId="77777777" w:rsidR="00C27A73" w:rsidRDefault="00C27A73" w:rsidP="008C571D">
            <w:pPr>
              <w:jc w:val="center"/>
            </w:pPr>
            <w:r>
              <w:t xml:space="preserve">     634</w:t>
            </w:r>
          </w:p>
        </w:tc>
        <w:tc>
          <w:tcPr>
            <w:tcW w:w="540" w:type="dxa"/>
            <w:tcBorders>
              <w:top w:val="single" w:sz="4" w:space="0" w:color="auto"/>
              <w:left w:val="nil"/>
              <w:bottom w:val="nil"/>
              <w:right w:val="nil"/>
            </w:tcBorders>
            <w:vAlign w:val="center"/>
          </w:tcPr>
          <w:p w14:paraId="6C892CEC" w14:textId="77777777" w:rsidR="00C27A73" w:rsidRDefault="00C27A73" w:rsidP="008C571D">
            <w:pPr>
              <w:jc w:val="center"/>
            </w:pPr>
            <w:r>
              <w:t>2</w:t>
            </w:r>
          </w:p>
        </w:tc>
        <w:tc>
          <w:tcPr>
            <w:tcW w:w="630" w:type="dxa"/>
            <w:tcBorders>
              <w:top w:val="single" w:sz="4" w:space="0" w:color="auto"/>
              <w:left w:val="nil"/>
              <w:bottom w:val="nil"/>
              <w:right w:val="nil"/>
            </w:tcBorders>
            <w:vAlign w:val="center"/>
          </w:tcPr>
          <w:p w14:paraId="658D43E8" w14:textId="77777777" w:rsidR="00C27A73" w:rsidRDefault="00C27A73" w:rsidP="008C571D">
            <w:pPr>
              <w:jc w:val="center"/>
            </w:pPr>
            <w:r>
              <w:t>-.26</w:t>
            </w:r>
          </w:p>
        </w:tc>
        <w:tc>
          <w:tcPr>
            <w:tcW w:w="630" w:type="dxa"/>
            <w:tcBorders>
              <w:top w:val="single" w:sz="4" w:space="0" w:color="auto"/>
              <w:left w:val="nil"/>
              <w:bottom w:val="nil"/>
              <w:right w:val="nil"/>
            </w:tcBorders>
            <w:vAlign w:val="center"/>
          </w:tcPr>
          <w:p w14:paraId="777303F4" w14:textId="77777777" w:rsidR="00C27A73" w:rsidRDefault="00C27A73" w:rsidP="008C571D">
            <w:pPr>
              <w:jc w:val="center"/>
            </w:pPr>
            <w:r>
              <w:t>-.31</w:t>
            </w:r>
          </w:p>
        </w:tc>
        <w:tc>
          <w:tcPr>
            <w:tcW w:w="540" w:type="dxa"/>
            <w:tcBorders>
              <w:top w:val="single" w:sz="4" w:space="0" w:color="auto"/>
              <w:left w:val="nil"/>
              <w:bottom w:val="nil"/>
              <w:right w:val="nil"/>
            </w:tcBorders>
            <w:vAlign w:val="center"/>
          </w:tcPr>
          <w:p w14:paraId="126B9E55" w14:textId="77777777" w:rsidR="00C27A73" w:rsidRDefault="00C27A73" w:rsidP="008C571D">
            <w:pPr>
              <w:jc w:val="center"/>
            </w:pPr>
            <w:r>
              <w:t>.000</w:t>
            </w:r>
          </w:p>
        </w:tc>
        <w:tc>
          <w:tcPr>
            <w:tcW w:w="630" w:type="dxa"/>
            <w:tcBorders>
              <w:top w:val="single" w:sz="4" w:space="0" w:color="auto"/>
              <w:left w:val="nil"/>
              <w:bottom w:val="nil"/>
              <w:right w:val="nil"/>
            </w:tcBorders>
            <w:vAlign w:val="center"/>
          </w:tcPr>
          <w:p w14:paraId="45A5CB91" w14:textId="77777777" w:rsidR="00C27A73" w:rsidRDefault="00C27A73" w:rsidP="008C571D">
            <w:pPr>
              <w:jc w:val="center"/>
            </w:pPr>
            <w:r>
              <w:t>.003</w:t>
            </w:r>
          </w:p>
        </w:tc>
        <w:tc>
          <w:tcPr>
            <w:tcW w:w="720" w:type="dxa"/>
            <w:tcBorders>
              <w:top w:val="single" w:sz="4" w:space="0" w:color="auto"/>
              <w:left w:val="nil"/>
              <w:bottom w:val="nil"/>
              <w:right w:val="nil"/>
            </w:tcBorders>
            <w:vAlign w:val="center"/>
          </w:tcPr>
          <w:p w14:paraId="047F455B" w14:textId="679653B0" w:rsidR="00C27A73" w:rsidRDefault="0033041A" w:rsidP="005E365D">
            <w:pPr>
              <w:jc w:val="center"/>
            </w:pPr>
            <w:r>
              <w:t>.0</w:t>
            </w:r>
            <w:r w:rsidR="005E365D">
              <w:t>20</w:t>
            </w:r>
          </w:p>
        </w:tc>
        <w:tc>
          <w:tcPr>
            <w:tcW w:w="810" w:type="dxa"/>
            <w:tcBorders>
              <w:top w:val="single" w:sz="4" w:space="0" w:color="auto"/>
              <w:left w:val="nil"/>
              <w:bottom w:val="nil"/>
              <w:right w:val="nil"/>
            </w:tcBorders>
            <w:vAlign w:val="center"/>
          </w:tcPr>
          <w:p w14:paraId="21947912" w14:textId="77777777" w:rsidR="00C27A73" w:rsidRDefault="0033041A" w:rsidP="008C571D">
            <w:pPr>
              <w:jc w:val="center"/>
            </w:pPr>
            <w:r>
              <w:t>.000</w:t>
            </w:r>
          </w:p>
        </w:tc>
        <w:tc>
          <w:tcPr>
            <w:tcW w:w="1890" w:type="dxa"/>
            <w:tcBorders>
              <w:top w:val="single" w:sz="4" w:space="0" w:color="auto"/>
              <w:left w:val="nil"/>
              <w:bottom w:val="nil"/>
              <w:right w:val="nil"/>
            </w:tcBorders>
            <w:vAlign w:val="center"/>
          </w:tcPr>
          <w:p w14:paraId="57F5662E" w14:textId="20696E0C" w:rsidR="00C27A73" w:rsidRDefault="00C27A73" w:rsidP="00FA739B">
            <w:pPr>
              <w:jc w:val="center"/>
            </w:pPr>
            <w:r>
              <w:t>.</w:t>
            </w:r>
            <w:r w:rsidR="00FA739B">
              <w:t>25</w:t>
            </w:r>
            <w:r w:rsidR="00226AB0">
              <w:t xml:space="preserve">, </w:t>
            </w:r>
            <w:r w:rsidR="00226AB0" w:rsidRPr="00DF18D0">
              <w:rPr>
                <w:i/>
              </w:rPr>
              <w:t>p</w:t>
            </w:r>
            <w:r w:rsidR="00226AB0">
              <w:t xml:space="preserve"> = .</w:t>
            </w:r>
            <w:r w:rsidR="00FA739B">
              <w:t>619</w:t>
            </w:r>
          </w:p>
        </w:tc>
        <w:tc>
          <w:tcPr>
            <w:tcW w:w="1350" w:type="dxa"/>
            <w:tcBorders>
              <w:top w:val="single" w:sz="4" w:space="0" w:color="auto"/>
              <w:left w:val="nil"/>
              <w:bottom w:val="nil"/>
              <w:right w:val="nil"/>
            </w:tcBorders>
            <w:vAlign w:val="center"/>
          </w:tcPr>
          <w:p w14:paraId="7C5DC6DA" w14:textId="5841F7BF" w:rsidR="00C27A73" w:rsidRDefault="00C27A73" w:rsidP="008C571D">
            <w:pPr>
              <w:jc w:val="center"/>
            </w:pPr>
            <w:r>
              <w:t>-.31 : -.31</w:t>
            </w:r>
            <w:r w:rsidR="00AA19E8" w:rsidRPr="007C1078">
              <w:rPr>
                <w:vertAlign w:val="superscript"/>
              </w:rPr>
              <w:t>1</w:t>
            </w:r>
          </w:p>
        </w:tc>
        <w:tc>
          <w:tcPr>
            <w:tcW w:w="1265" w:type="dxa"/>
            <w:tcBorders>
              <w:top w:val="single" w:sz="4" w:space="0" w:color="auto"/>
              <w:left w:val="nil"/>
              <w:bottom w:val="nil"/>
              <w:right w:val="nil"/>
            </w:tcBorders>
            <w:vAlign w:val="center"/>
          </w:tcPr>
          <w:p w14:paraId="34A298B9" w14:textId="77777777" w:rsidR="00C27A73" w:rsidRDefault="00C27A73" w:rsidP="008C571D">
            <w:pPr>
              <w:jc w:val="center"/>
            </w:pPr>
            <w:r>
              <w:t>-.33 : -.18</w:t>
            </w:r>
          </w:p>
        </w:tc>
      </w:tr>
      <w:tr w:rsidR="00C27A73" w:rsidRPr="00F807A9" w14:paraId="70AFE8F3" w14:textId="77777777" w:rsidTr="00226AB0">
        <w:trPr>
          <w:trHeight w:val="288"/>
        </w:trPr>
        <w:tc>
          <w:tcPr>
            <w:tcW w:w="3145" w:type="dxa"/>
            <w:tcBorders>
              <w:top w:val="nil"/>
              <w:left w:val="nil"/>
              <w:bottom w:val="single" w:sz="4" w:space="0" w:color="auto"/>
              <w:right w:val="nil"/>
            </w:tcBorders>
            <w:vAlign w:val="center"/>
          </w:tcPr>
          <w:p w14:paraId="456552AF" w14:textId="77777777" w:rsidR="00C27A73" w:rsidRDefault="00C27A73" w:rsidP="008C571D">
            <w:r>
              <w:t xml:space="preserve">Gender Egalitarianism Practice   </w:t>
            </w:r>
          </w:p>
          <w:p w14:paraId="5B21EC8C" w14:textId="77777777" w:rsidR="00C27A73" w:rsidRPr="003E6EE8" w:rsidRDefault="00C27A73" w:rsidP="008C571D">
            <w:r>
              <w:t xml:space="preserve">   Band B</w:t>
            </w:r>
          </w:p>
        </w:tc>
        <w:tc>
          <w:tcPr>
            <w:tcW w:w="810" w:type="dxa"/>
            <w:tcBorders>
              <w:top w:val="nil"/>
              <w:left w:val="nil"/>
              <w:bottom w:val="single" w:sz="4" w:space="0" w:color="auto"/>
              <w:right w:val="nil"/>
            </w:tcBorders>
            <w:vAlign w:val="center"/>
          </w:tcPr>
          <w:p w14:paraId="3F7CA30E" w14:textId="77777777" w:rsidR="00C27A73" w:rsidRPr="00F807A9" w:rsidRDefault="00C27A73" w:rsidP="000F192B">
            <w:r>
              <w:t xml:space="preserve">  </w:t>
            </w:r>
            <w:r w:rsidR="000F192B">
              <w:t>26,841</w:t>
            </w:r>
          </w:p>
        </w:tc>
        <w:tc>
          <w:tcPr>
            <w:tcW w:w="540" w:type="dxa"/>
            <w:tcBorders>
              <w:top w:val="nil"/>
              <w:left w:val="nil"/>
              <w:bottom w:val="single" w:sz="4" w:space="0" w:color="auto"/>
              <w:right w:val="nil"/>
            </w:tcBorders>
            <w:vAlign w:val="center"/>
          </w:tcPr>
          <w:p w14:paraId="2B883504" w14:textId="77777777" w:rsidR="00C27A73" w:rsidRPr="00F807A9" w:rsidRDefault="00C27A73" w:rsidP="000F192B">
            <w:pPr>
              <w:jc w:val="center"/>
            </w:pPr>
            <w:r>
              <w:t>1</w:t>
            </w:r>
            <w:r w:rsidR="000F192B">
              <w:t>5</w:t>
            </w:r>
          </w:p>
        </w:tc>
        <w:tc>
          <w:tcPr>
            <w:tcW w:w="630" w:type="dxa"/>
            <w:tcBorders>
              <w:top w:val="nil"/>
              <w:left w:val="nil"/>
              <w:bottom w:val="single" w:sz="4" w:space="0" w:color="auto"/>
              <w:right w:val="nil"/>
            </w:tcBorders>
            <w:vAlign w:val="center"/>
          </w:tcPr>
          <w:p w14:paraId="2366A7A2" w14:textId="77777777" w:rsidR="00C27A73" w:rsidRPr="00F807A9" w:rsidRDefault="00C27A73" w:rsidP="008C571D">
            <w:pPr>
              <w:jc w:val="center"/>
            </w:pPr>
            <w:r>
              <w:t>-</w:t>
            </w:r>
            <w:r w:rsidR="000F192B">
              <w:t>.16</w:t>
            </w:r>
          </w:p>
        </w:tc>
        <w:tc>
          <w:tcPr>
            <w:tcW w:w="630" w:type="dxa"/>
            <w:tcBorders>
              <w:top w:val="nil"/>
              <w:left w:val="nil"/>
              <w:bottom w:val="single" w:sz="4" w:space="0" w:color="auto"/>
              <w:right w:val="nil"/>
            </w:tcBorders>
            <w:vAlign w:val="center"/>
          </w:tcPr>
          <w:p w14:paraId="3439A8C6" w14:textId="77777777" w:rsidR="00C27A73" w:rsidRPr="00F807A9" w:rsidRDefault="00C27A73" w:rsidP="000F192B">
            <w:pPr>
              <w:jc w:val="center"/>
            </w:pPr>
            <w:r>
              <w:t>-.</w:t>
            </w:r>
            <w:r w:rsidR="000F192B">
              <w:t>19</w:t>
            </w:r>
          </w:p>
        </w:tc>
        <w:tc>
          <w:tcPr>
            <w:tcW w:w="540" w:type="dxa"/>
            <w:tcBorders>
              <w:top w:val="nil"/>
              <w:left w:val="nil"/>
              <w:bottom w:val="single" w:sz="4" w:space="0" w:color="auto"/>
              <w:right w:val="nil"/>
            </w:tcBorders>
            <w:vAlign w:val="center"/>
          </w:tcPr>
          <w:p w14:paraId="230C933E" w14:textId="77777777" w:rsidR="00C27A73" w:rsidRPr="00F807A9" w:rsidRDefault="00C27A73" w:rsidP="000F192B">
            <w:pPr>
              <w:jc w:val="center"/>
            </w:pPr>
            <w:r>
              <w:t>.0</w:t>
            </w:r>
            <w:r w:rsidR="000F192B">
              <w:t>11</w:t>
            </w:r>
          </w:p>
        </w:tc>
        <w:tc>
          <w:tcPr>
            <w:tcW w:w="630" w:type="dxa"/>
            <w:tcBorders>
              <w:top w:val="nil"/>
              <w:left w:val="nil"/>
              <w:bottom w:val="single" w:sz="4" w:space="0" w:color="auto"/>
              <w:right w:val="nil"/>
            </w:tcBorders>
            <w:vAlign w:val="center"/>
          </w:tcPr>
          <w:p w14:paraId="347966CC" w14:textId="77777777" w:rsidR="00C27A73" w:rsidRPr="00F807A9" w:rsidRDefault="00C27A73" w:rsidP="008C571D">
            <w:pPr>
              <w:jc w:val="center"/>
            </w:pPr>
            <w:r>
              <w:t>.001</w:t>
            </w:r>
          </w:p>
        </w:tc>
        <w:tc>
          <w:tcPr>
            <w:tcW w:w="720" w:type="dxa"/>
            <w:tcBorders>
              <w:top w:val="nil"/>
              <w:left w:val="nil"/>
              <w:bottom w:val="single" w:sz="4" w:space="0" w:color="auto"/>
              <w:right w:val="nil"/>
            </w:tcBorders>
            <w:vAlign w:val="center"/>
          </w:tcPr>
          <w:p w14:paraId="30697F92" w14:textId="77777777" w:rsidR="00C27A73" w:rsidRPr="00F807A9" w:rsidRDefault="000F192B" w:rsidP="008C571D">
            <w:pPr>
              <w:jc w:val="center"/>
            </w:pPr>
            <w:r>
              <w:t>.105</w:t>
            </w:r>
          </w:p>
        </w:tc>
        <w:tc>
          <w:tcPr>
            <w:tcW w:w="810" w:type="dxa"/>
            <w:tcBorders>
              <w:top w:val="nil"/>
              <w:left w:val="nil"/>
              <w:bottom w:val="single" w:sz="4" w:space="0" w:color="auto"/>
              <w:right w:val="nil"/>
            </w:tcBorders>
            <w:vAlign w:val="center"/>
          </w:tcPr>
          <w:p w14:paraId="5A4FC740" w14:textId="77777777" w:rsidR="00C27A73" w:rsidRPr="00F807A9" w:rsidRDefault="000F192B" w:rsidP="008C571D">
            <w:pPr>
              <w:jc w:val="center"/>
            </w:pPr>
            <w:r>
              <w:t>.122</w:t>
            </w:r>
          </w:p>
        </w:tc>
        <w:tc>
          <w:tcPr>
            <w:tcW w:w="1890" w:type="dxa"/>
            <w:tcBorders>
              <w:top w:val="nil"/>
              <w:left w:val="nil"/>
              <w:bottom w:val="single" w:sz="4" w:space="0" w:color="auto"/>
              <w:right w:val="nil"/>
            </w:tcBorders>
            <w:vAlign w:val="center"/>
          </w:tcPr>
          <w:p w14:paraId="419BB977" w14:textId="77777777" w:rsidR="00C27A73" w:rsidRDefault="000F192B" w:rsidP="00226AB0">
            <w:pPr>
              <w:jc w:val="center"/>
            </w:pPr>
            <w:r>
              <w:t>249.58</w:t>
            </w:r>
            <w:r w:rsidR="00226AB0">
              <w:t xml:space="preserve">, </w:t>
            </w:r>
            <w:r w:rsidR="00226AB0" w:rsidRPr="00DF18D0">
              <w:rPr>
                <w:i/>
              </w:rPr>
              <w:t>p</w:t>
            </w:r>
            <w:r w:rsidR="00226AB0">
              <w:t xml:space="preserve"> = .000</w:t>
            </w:r>
          </w:p>
        </w:tc>
        <w:tc>
          <w:tcPr>
            <w:tcW w:w="1350" w:type="dxa"/>
            <w:tcBorders>
              <w:top w:val="nil"/>
              <w:left w:val="nil"/>
              <w:bottom w:val="single" w:sz="4" w:space="0" w:color="auto"/>
              <w:right w:val="nil"/>
            </w:tcBorders>
            <w:vAlign w:val="center"/>
          </w:tcPr>
          <w:p w14:paraId="0E26F48F" w14:textId="77777777" w:rsidR="00C27A73" w:rsidRPr="00F807A9" w:rsidRDefault="00C27A73" w:rsidP="000F192B">
            <w:pPr>
              <w:jc w:val="center"/>
            </w:pPr>
            <w:r>
              <w:t>-.3</w:t>
            </w:r>
            <w:r w:rsidR="000F192B">
              <w:t>5</w:t>
            </w:r>
            <w:r>
              <w:t xml:space="preserve"> : -.</w:t>
            </w:r>
            <w:r w:rsidR="000F192B">
              <w:t>04</w:t>
            </w:r>
          </w:p>
        </w:tc>
        <w:tc>
          <w:tcPr>
            <w:tcW w:w="1265" w:type="dxa"/>
            <w:tcBorders>
              <w:top w:val="nil"/>
              <w:left w:val="nil"/>
              <w:bottom w:val="single" w:sz="4" w:space="0" w:color="auto"/>
              <w:right w:val="nil"/>
            </w:tcBorders>
            <w:vAlign w:val="center"/>
          </w:tcPr>
          <w:p w14:paraId="0780BBC3" w14:textId="77777777" w:rsidR="00C27A73" w:rsidRPr="00F807A9" w:rsidRDefault="00C27A73" w:rsidP="000F192B">
            <w:pPr>
              <w:jc w:val="center"/>
            </w:pPr>
            <w:r>
              <w:t>-.</w:t>
            </w:r>
            <w:r w:rsidR="000F192B">
              <w:t>17</w:t>
            </w:r>
            <w:r>
              <w:t xml:space="preserve"> : -.1</w:t>
            </w:r>
            <w:r w:rsidR="000F192B">
              <w:t>5</w:t>
            </w:r>
          </w:p>
        </w:tc>
      </w:tr>
      <w:tr w:rsidR="008C571D" w:rsidRPr="00F807A9" w14:paraId="4150D493" w14:textId="77777777" w:rsidTr="008C571D">
        <w:trPr>
          <w:trHeight w:val="288"/>
        </w:trPr>
        <w:tc>
          <w:tcPr>
            <w:tcW w:w="12960" w:type="dxa"/>
            <w:gridSpan w:val="12"/>
            <w:tcBorders>
              <w:top w:val="single" w:sz="4" w:space="0" w:color="auto"/>
              <w:left w:val="nil"/>
              <w:bottom w:val="single" w:sz="4" w:space="0" w:color="auto"/>
            </w:tcBorders>
          </w:tcPr>
          <w:p w14:paraId="2788AC90" w14:textId="77777777" w:rsidR="008C571D" w:rsidRDefault="008C571D" w:rsidP="008C571D">
            <w:pPr>
              <w:jc w:val="center"/>
            </w:pPr>
            <w:r>
              <w:rPr>
                <w:b/>
              </w:rPr>
              <w:t>Work-Related Outcomes (Job-based)</w:t>
            </w:r>
          </w:p>
        </w:tc>
      </w:tr>
      <w:tr w:rsidR="00C27A73" w:rsidRPr="009E1F0B" w14:paraId="281AD7AB" w14:textId="77777777" w:rsidTr="00226AB0">
        <w:trPr>
          <w:trHeight w:val="288"/>
        </w:trPr>
        <w:tc>
          <w:tcPr>
            <w:tcW w:w="3145" w:type="dxa"/>
            <w:tcBorders>
              <w:top w:val="single" w:sz="4" w:space="0" w:color="auto"/>
              <w:left w:val="nil"/>
              <w:bottom w:val="nil"/>
              <w:right w:val="nil"/>
            </w:tcBorders>
            <w:vAlign w:val="center"/>
          </w:tcPr>
          <w:p w14:paraId="54F7D116" w14:textId="77777777" w:rsidR="00C27A73" w:rsidRPr="009E1F0B" w:rsidRDefault="00C27A73" w:rsidP="008C571D">
            <w:r w:rsidRPr="009E1F0B">
              <w:t xml:space="preserve">Gender Egalitarianism Practice </w:t>
            </w:r>
          </w:p>
          <w:p w14:paraId="421D0FFC" w14:textId="77777777" w:rsidR="00C27A73" w:rsidRPr="009E1F0B" w:rsidRDefault="00C27A73" w:rsidP="008C571D">
            <w:r w:rsidRPr="009E1F0B">
              <w:t xml:space="preserve">   Band A</w:t>
            </w:r>
          </w:p>
        </w:tc>
        <w:tc>
          <w:tcPr>
            <w:tcW w:w="810" w:type="dxa"/>
            <w:tcBorders>
              <w:top w:val="single" w:sz="4" w:space="0" w:color="auto"/>
              <w:left w:val="nil"/>
              <w:bottom w:val="nil"/>
              <w:right w:val="nil"/>
            </w:tcBorders>
            <w:vAlign w:val="center"/>
          </w:tcPr>
          <w:p w14:paraId="6FFB0BF6" w14:textId="77777777" w:rsidR="00C27A73" w:rsidRPr="009E1F0B" w:rsidRDefault="00C27A73" w:rsidP="008C571D">
            <w:pPr>
              <w:jc w:val="center"/>
            </w:pPr>
            <w:r w:rsidRPr="009E1F0B">
              <w:t xml:space="preserve">   743</w:t>
            </w:r>
          </w:p>
        </w:tc>
        <w:tc>
          <w:tcPr>
            <w:tcW w:w="540" w:type="dxa"/>
            <w:tcBorders>
              <w:top w:val="single" w:sz="4" w:space="0" w:color="auto"/>
              <w:left w:val="nil"/>
              <w:bottom w:val="nil"/>
              <w:right w:val="nil"/>
            </w:tcBorders>
            <w:vAlign w:val="center"/>
          </w:tcPr>
          <w:p w14:paraId="0D06DF45" w14:textId="77777777" w:rsidR="00C27A73" w:rsidRPr="009E1F0B" w:rsidRDefault="00C27A73" w:rsidP="008C571D">
            <w:pPr>
              <w:jc w:val="center"/>
            </w:pPr>
            <w:r w:rsidRPr="009E1F0B">
              <w:t>4</w:t>
            </w:r>
          </w:p>
        </w:tc>
        <w:tc>
          <w:tcPr>
            <w:tcW w:w="630" w:type="dxa"/>
            <w:tcBorders>
              <w:top w:val="single" w:sz="4" w:space="0" w:color="auto"/>
              <w:left w:val="nil"/>
              <w:bottom w:val="nil"/>
              <w:right w:val="nil"/>
            </w:tcBorders>
            <w:vAlign w:val="center"/>
          </w:tcPr>
          <w:p w14:paraId="5BB01A21" w14:textId="77777777" w:rsidR="00C27A73" w:rsidRPr="009E1F0B" w:rsidRDefault="00C27A73" w:rsidP="008C571D">
            <w:pPr>
              <w:jc w:val="center"/>
            </w:pPr>
            <w:r w:rsidRPr="009E1F0B">
              <w:t>-.17</w:t>
            </w:r>
          </w:p>
        </w:tc>
        <w:tc>
          <w:tcPr>
            <w:tcW w:w="630" w:type="dxa"/>
            <w:tcBorders>
              <w:top w:val="single" w:sz="4" w:space="0" w:color="auto"/>
              <w:left w:val="nil"/>
              <w:bottom w:val="nil"/>
              <w:right w:val="nil"/>
            </w:tcBorders>
            <w:vAlign w:val="center"/>
          </w:tcPr>
          <w:p w14:paraId="0DE74972" w14:textId="77777777" w:rsidR="00C27A73" w:rsidRPr="009E1F0B" w:rsidRDefault="00C27A73" w:rsidP="008C571D">
            <w:pPr>
              <w:jc w:val="center"/>
            </w:pPr>
            <w:r w:rsidRPr="009E1F0B">
              <w:t>-.22</w:t>
            </w:r>
          </w:p>
        </w:tc>
        <w:tc>
          <w:tcPr>
            <w:tcW w:w="540" w:type="dxa"/>
            <w:tcBorders>
              <w:top w:val="single" w:sz="4" w:space="0" w:color="auto"/>
              <w:left w:val="nil"/>
              <w:bottom w:val="nil"/>
              <w:right w:val="nil"/>
            </w:tcBorders>
            <w:vAlign w:val="center"/>
          </w:tcPr>
          <w:p w14:paraId="7CF94BA3" w14:textId="77777777" w:rsidR="00C27A73" w:rsidRPr="009E1F0B" w:rsidRDefault="00C27A73" w:rsidP="008C571D">
            <w:pPr>
              <w:jc w:val="center"/>
            </w:pPr>
            <w:r w:rsidRPr="009E1F0B">
              <w:t>.012</w:t>
            </w:r>
          </w:p>
        </w:tc>
        <w:tc>
          <w:tcPr>
            <w:tcW w:w="630" w:type="dxa"/>
            <w:tcBorders>
              <w:top w:val="single" w:sz="4" w:space="0" w:color="auto"/>
              <w:left w:val="nil"/>
              <w:bottom w:val="nil"/>
              <w:right w:val="nil"/>
            </w:tcBorders>
            <w:vAlign w:val="center"/>
          </w:tcPr>
          <w:p w14:paraId="02D7B962" w14:textId="77777777" w:rsidR="00C27A73" w:rsidRPr="009E1F0B" w:rsidRDefault="00C27A73" w:rsidP="008C571D">
            <w:pPr>
              <w:jc w:val="center"/>
            </w:pPr>
            <w:r w:rsidRPr="009E1F0B">
              <w:t>.005</w:t>
            </w:r>
          </w:p>
        </w:tc>
        <w:tc>
          <w:tcPr>
            <w:tcW w:w="720" w:type="dxa"/>
            <w:tcBorders>
              <w:top w:val="single" w:sz="4" w:space="0" w:color="auto"/>
              <w:left w:val="nil"/>
              <w:bottom w:val="nil"/>
              <w:right w:val="nil"/>
            </w:tcBorders>
            <w:vAlign w:val="center"/>
          </w:tcPr>
          <w:p w14:paraId="28EFA02C" w14:textId="77777777" w:rsidR="00C27A73" w:rsidRPr="009E1F0B" w:rsidRDefault="00FF6C33" w:rsidP="008C571D">
            <w:pPr>
              <w:jc w:val="center"/>
            </w:pPr>
            <w:r>
              <w:t>.108</w:t>
            </w:r>
          </w:p>
        </w:tc>
        <w:tc>
          <w:tcPr>
            <w:tcW w:w="810" w:type="dxa"/>
            <w:tcBorders>
              <w:top w:val="single" w:sz="4" w:space="0" w:color="auto"/>
              <w:left w:val="nil"/>
              <w:bottom w:val="nil"/>
              <w:right w:val="nil"/>
            </w:tcBorders>
            <w:vAlign w:val="center"/>
          </w:tcPr>
          <w:p w14:paraId="0BE07AFA" w14:textId="77777777" w:rsidR="00C27A73" w:rsidRPr="009E1F0B" w:rsidRDefault="00FF6C33" w:rsidP="008C571D">
            <w:pPr>
              <w:jc w:val="center"/>
            </w:pPr>
            <w:r>
              <w:t>.103</w:t>
            </w:r>
          </w:p>
        </w:tc>
        <w:tc>
          <w:tcPr>
            <w:tcW w:w="1890" w:type="dxa"/>
            <w:tcBorders>
              <w:top w:val="single" w:sz="4" w:space="0" w:color="auto"/>
              <w:left w:val="nil"/>
              <w:bottom w:val="nil"/>
              <w:right w:val="nil"/>
            </w:tcBorders>
            <w:vAlign w:val="center"/>
          </w:tcPr>
          <w:p w14:paraId="3DDA7BC6" w14:textId="109045A3" w:rsidR="00C27A73" w:rsidRPr="009E1F0B" w:rsidRDefault="009720E2" w:rsidP="00226AB0">
            <w:pPr>
              <w:jc w:val="center"/>
            </w:pPr>
            <w:r>
              <w:t>8.69</w:t>
            </w:r>
            <w:r w:rsidR="00226AB0">
              <w:t xml:space="preserve">, </w:t>
            </w:r>
            <w:r w:rsidR="00226AB0" w:rsidRPr="00DF18D0">
              <w:rPr>
                <w:i/>
              </w:rPr>
              <w:t>p</w:t>
            </w:r>
            <w:r>
              <w:t xml:space="preserve"> = .003</w:t>
            </w:r>
          </w:p>
        </w:tc>
        <w:tc>
          <w:tcPr>
            <w:tcW w:w="1350" w:type="dxa"/>
            <w:tcBorders>
              <w:top w:val="single" w:sz="4" w:space="0" w:color="auto"/>
              <w:left w:val="nil"/>
              <w:bottom w:val="nil"/>
              <w:right w:val="nil"/>
            </w:tcBorders>
            <w:vAlign w:val="center"/>
          </w:tcPr>
          <w:p w14:paraId="01CB2231" w14:textId="77777777" w:rsidR="00C27A73" w:rsidRPr="009E1F0B" w:rsidRDefault="00C27A73" w:rsidP="008C571D">
            <w:pPr>
              <w:jc w:val="center"/>
            </w:pPr>
            <w:r w:rsidRPr="009E1F0B">
              <w:t>-.35 : -.09</w:t>
            </w:r>
          </w:p>
        </w:tc>
        <w:tc>
          <w:tcPr>
            <w:tcW w:w="1265" w:type="dxa"/>
            <w:tcBorders>
              <w:top w:val="single" w:sz="4" w:space="0" w:color="auto"/>
              <w:left w:val="nil"/>
              <w:bottom w:val="nil"/>
              <w:right w:val="nil"/>
            </w:tcBorders>
            <w:vAlign w:val="center"/>
          </w:tcPr>
          <w:p w14:paraId="68EB5B4F" w14:textId="77777777" w:rsidR="00C27A73" w:rsidRPr="009E1F0B" w:rsidRDefault="00C27A73" w:rsidP="008C571D">
            <w:pPr>
              <w:jc w:val="center"/>
            </w:pPr>
            <w:r w:rsidRPr="009E1F0B">
              <w:t>-.24 : -.10</w:t>
            </w:r>
          </w:p>
        </w:tc>
      </w:tr>
      <w:tr w:rsidR="00C27A73" w:rsidRPr="00FD115B" w14:paraId="2B298920" w14:textId="77777777" w:rsidTr="00226AB0">
        <w:trPr>
          <w:trHeight w:val="288"/>
        </w:trPr>
        <w:tc>
          <w:tcPr>
            <w:tcW w:w="3145" w:type="dxa"/>
            <w:tcBorders>
              <w:top w:val="nil"/>
              <w:left w:val="nil"/>
              <w:bottom w:val="single" w:sz="4" w:space="0" w:color="auto"/>
              <w:right w:val="nil"/>
            </w:tcBorders>
            <w:vAlign w:val="center"/>
          </w:tcPr>
          <w:p w14:paraId="28D0902B" w14:textId="77777777" w:rsidR="00C27A73" w:rsidRPr="009E1F0B" w:rsidRDefault="00C27A73" w:rsidP="008C571D">
            <w:r w:rsidRPr="009E1F0B">
              <w:t xml:space="preserve">Gender Egalitarianism Practice </w:t>
            </w:r>
          </w:p>
          <w:p w14:paraId="64377B50" w14:textId="77777777" w:rsidR="00C27A73" w:rsidRPr="009E1F0B" w:rsidRDefault="00C27A73" w:rsidP="008C571D">
            <w:r w:rsidRPr="009E1F0B">
              <w:t xml:space="preserve">   Band B</w:t>
            </w:r>
          </w:p>
        </w:tc>
        <w:tc>
          <w:tcPr>
            <w:tcW w:w="810" w:type="dxa"/>
            <w:tcBorders>
              <w:top w:val="nil"/>
              <w:left w:val="nil"/>
              <w:bottom w:val="single" w:sz="4" w:space="0" w:color="auto"/>
              <w:right w:val="nil"/>
            </w:tcBorders>
            <w:vAlign w:val="center"/>
          </w:tcPr>
          <w:p w14:paraId="3F82A705" w14:textId="77777777" w:rsidR="00C27A73" w:rsidRPr="009E1F0B" w:rsidRDefault="00C27A73" w:rsidP="008C571D">
            <w:pPr>
              <w:jc w:val="center"/>
            </w:pPr>
            <w:r w:rsidRPr="009E1F0B">
              <w:t>10,801</w:t>
            </w:r>
          </w:p>
        </w:tc>
        <w:tc>
          <w:tcPr>
            <w:tcW w:w="540" w:type="dxa"/>
            <w:tcBorders>
              <w:top w:val="nil"/>
              <w:left w:val="nil"/>
              <w:bottom w:val="single" w:sz="4" w:space="0" w:color="auto"/>
              <w:right w:val="nil"/>
            </w:tcBorders>
            <w:vAlign w:val="center"/>
          </w:tcPr>
          <w:p w14:paraId="124E476E" w14:textId="77777777" w:rsidR="00C27A73" w:rsidRPr="009E1F0B" w:rsidRDefault="00C27A73" w:rsidP="008C571D">
            <w:pPr>
              <w:jc w:val="center"/>
            </w:pPr>
            <w:r w:rsidRPr="009E1F0B">
              <w:t>6</w:t>
            </w:r>
          </w:p>
        </w:tc>
        <w:tc>
          <w:tcPr>
            <w:tcW w:w="630" w:type="dxa"/>
            <w:tcBorders>
              <w:top w:val="nil"/>
              <w:left w:val="nil"/>
              <w:bottom w:val="single" w:sz="4" w:space="0" w:color="auto"/>
              <w:right w:val="nil"/>
            </w:tcBorders>
            <w:vAlign w:val="center"/>
          </w:tcPr>
          <w:p w14:paraId="60170DEB" w14:textId="77777777" w:rsidR="00C27A73" w:rsidRPr="009E1F0B" w:rsidRDefault="00C27A73" w:rsidP="008C571D">
            <w:pPr>
              <w:jc w:val="center"/>
            </w:pPr>
            <w:r w:rsidRPr="009E1F0B">
              <w:t>-.03</w:t>
            </w:r>
          </w:p>
        </w:tc>
        <w:tc>
          <w:tcPr>
            <w:tcW w:w="630" w:type="dxa"/>
            <w:tcBorders>
              <w:top w:val="nil"/>
              <w:left w:val="nil"/>
              <w:bottom w:val="single" w:sz="4" w:space="0" w:color="auto"/>
              <w:right w:val="nil"/>
            </w:tcBorders>
            <w:vAlign w:val="center"/>
          </w:tcPr>
          <w:p w14:paraId="6F7DCABB" w14:textId="77777777" w:rsidR="00C27A73" w:rsidRPr="009E1F0B" w:rsidRDefault="00C27A73" w:rsidP="008C571D">
            <w:pPr>
              <w:jc w:val="center"/>
            </w:pPr>
            <w:r w:rsidRPr="009E1F0B">
              <w:t>-.04</w:t>
            </w:r>
          </w:p>
        </w:tc>
        <w:tc>
          <w:tcPr>
            <w:tcW w:w="540" w:type="dxa"/>
            <w:tcBorders>
              <w:top w:val="nil"/>
              <w:left w:val="nil"/>
              <w:bottom w:val="single" w:sz="4" w:space="0" w:color="auto"/>
              <w:right w:val="nil"/>
            </w:tcBorders>
            <w:vAlign w:val="center"/>
          </w:tcPr>
          <w:p w14:paraId="47D76A62" w14:textId="77777777" w:rsidR="00C27A73" w:rsidRPr="009E1F0B" w:rsidRDefault="00C27A73" w:rsidP="008C571D">
            <w:pPr>
              <w:jc w:val="center"/>
            </w:pPr>
            <w:r w:rsidRPr="009E1F0B">
              <w:t>.005</w:t>
            </w:r>
          </w:p>
        </w:tc>
        <w:tc>
          <w:tcPr>
            <w:tcW w:w="630" w:type="dxa"/>
            <w:tcBorders>
              <w:top w:val="nil"/>
              <w:left w:val="nil"/>
              <w:bottom w:val="single" w:sz="4" w:space="0" w:color="auto"/>
              <w:right w:val="nil"/>
            </w:tcBorders>
            <w:vAlign w:val="center"/>
          </w:tcPr>
          <w:p w14:paraId="2E191495" w14:textId="77777777" w:rsidR="00C27A73" w:rsidRPr="009E1F0B" w:rsidRDefault="00C27A73" w:rsidP="008C571D">
            <w:pPr>
              <w:jc w:val="center"/>
            </w:pPr>
            <w:r w:rsidRPr="009E1F0B">
              <w:t>.001</w:t>
            </w:r>
          </w:p>
        </w:tc>
        <w:tc>
          <w:tcPr>
            <w:tcW w:w="720" w:type="dxa"/>
            <w:tcBorders>
              <w:top w:val="nil"/>
              <w:left w:val="nil"/>
              <w:bottom w:val="single" w:sz="4" w:space="0" w:color="auto"/>
              <w:right w:val="nil"/>
            </w:tcBorders>
            <w:vAlign w:val="center"/>
          </w:tcPr>
          <w:p w14:paraId="13376FF3" w14:textId="77777777" w:rsidR="00C27A73" w:rsidRPr="009E1F0B" w:rsidRDefault="00FF6C33" w:rsidP="008C571D">
            <w:pPr>
              <w:jc w:val="center"/>
            </w:pPr>
            <w:r>
              <w:t>.069</w:t>
            </w:r>
          </w:p>
        </w:tc>
        <w:tc>
          <w:tcPr>
            <w:tcW w:w="810" w:type="dxa"/>
            <w:tcBorders>
              <w:top w:val="nil"/>
              <w:left w:val="nil"/>
              <w:bottom w:val="single" w:sz="4" w:space="0" w:color="auto"/>
              <w:right w:val="nil"/>
            </w:tcBorders>
            <w:vAlign w:val="center"/>
          </w:tcPr>
          <w:p w14:paraId="50CE6C42" w14:textId="77777777" w:rsidR="00C27A73" w:rsidRPr="009E1F0B" w:rsidRDefault="00FF6C33" w:rsidP="008C571D">
            <w:pPr>
              <w:jc w:val="center"/>
            </w:pPr>
            <w:r>
              <w:t>.084</w:t>
            </w:r>
          </w:p>
        </w:tc>
        <w:tc>
          <w:tcPr>
            <w:tcW w:w="1890" w:type="dxa"/>
            <w:tcBorders>
              <w:top w:val="nil"/>
              <w:left w:val="nil"/>
              <w:bottom w:val="single" w:sz="4" w:space="0" w:color="auto"/>
              <w:right w:val="nil"/>
            </w:tcBorders>
            <w:vAlign w:val="center"/>
          </w:tcPr>
          <w:p w14:paraId="1A1BF58C" w14:textId="77777777" w:rsidR="00C27A73" w:rsidRPr="009E1F0B" w:rsidRDefault="00C27A73" w:rsidP="00226AB0">
            <w:pPr>
              <w:jc w:val="center"/>
            </w:pPr>
            <w:r w:rsidRPr="009E1F0B">
              <w:t>50.69</w:t>
            </w:r>
            <w:r w:rsidR="00226AB0">
              <w:t xml:space="preserve">, </w:t>
            </w:r>
            <w:r w:rsidR="00226AB0" w:rsidRPr="00DF18D0">
              <w:rPr>
                <w:i/>
              </w:rPr>
              <w:t>p</w:t>
            </w:r>
            <w:r w:rsidR="00226AB0">
              <w:t xml:space="preserve"> = .000</w:t>
            </w:r>
          </w:p>
        </w:tc>
        <w:tc>
          <w:tcPr>
            <w:tcW w:w="1350" w:type="dxa"/>
            <w:tcBorders>
              <w:top w:val="nil"/>
              <w:left w:val="nil"/>
              <w:bottom w:val="single" w:sz="4" w:space="0" w:color="auto"/>
              <w:right w:val="nil"/>
            </w:tcBorders>
            <w:vAlign w:val="center"/>
          </w:tcPr>
          <w:p w14:paraId="3DA7BFF8" w14:textId="77777777" w:rsidR="00C27A73" w:rsidRPr="009E1F0B" w:rsidRDefault="00C27A73" w:rsidP="008C571D">
            <w:pPr>
              <w:jc w:val="center"/>
            </w:pPr>
            <w:r w:rsidRPr="009E1F0B">
              <w:t>-.14 : .07</w:t>
            </w:r>
          </w:p>
        </w:tc>
        <w:tc>
          <w:tcPr>
            <w:tcW w:w="1265" w:type="dxa"/>
            <w:tcBorders>
              <w:top w:val="nil"/>
              <w:left w:val="nil"/>
              <w:bottom w:val="single" w:sz="4" w:space="0" w:color="auto"/>
              <w:right w:val="nil"/>
            </w:tcBorders>
            <w:vAlign w:val="center"/>
          </w:tcPr>
          <w:p w14:paraId="677C6B34" w14:textId="77777777" w:rsidR="00C27A73" w:rsidRPr="009E1F0B" w:rsidRDefault="00C27A73" w:rsidP="008C571D">
            <w:pPr>
              <w:jc w:val="center"/>
            </w:pPr>
            <w:r w:rsidRPr="009E1F0B">
              <w:t>-.05 : -.01</w:t>
            </w:r>
          </w:p>
        </w:tc>
      </w:tr>
      <w:tr w:rsidR="00167365" w:rsidRPr="00FD115B" w14:paraId="4B5889CE" w14:textId="77777777" w:rsidTr="00167365">
        <w:trPr>
          <w:trHeight w:val="288"/>
        </w:trPr>
        <w:tc>
          <w:tcPr>
            <w:tcW w:w="12960" w:type="dxa"/>
            <w:gridSpan w:val="12"/>
            <w:tcBorders>
              <w:top w:val="single" w:sz="4" w:space="0" w:color="auto"/>
              <w:left w:val="nil"/>
              <w:bottom w:val="nil"/>
              <w:right w:val="nil"/>
            </w:tcBorders>
            <w:vAlign w:val="center"/>
          </w:tcPr>
          <w:p w14:paraId="737E654B" w14:textId="703F098B" w:rsidR="00167365" w:rsidRDefault="00167365" w:rsidP="00167365">
            <w:pPr>
              <w:pStyle w:val="FootnoteText"/>
              <w:rPr>
                <w:rFonts w:ascii="Times New Roman" w:hAnsi="Times New Roman"/>
              </w:rPr>
            </w:pPr>
            <w:r w:rsidRPr="00F807A9">
              <w:rPr>
                <w:rFonts w:ascii="Times New Roman" w:hAnsi="Times New Roman"/>
                <w:i/>
              </w:rPr>
              <w:t>N</w:t>
            </w:r>
            <w:r w:rsidRPr="00F807A9">
              <w:rPr>
                <w:rFonts w:ascii="Times New Roman" w:hAnsi="Times New Roman"/>
              </w:rPr>
              <w:t xml:space="preserve"> = Total sample size; </w:t>
            </w:r>
            <w:r>
              <w:rPr>
                <w:rFonts w:ascii="Times New Roman" w:hAnsi="Times New Roman"/>
                <w:i/>
              </w:rPr>
              <w:t>k</w:t>
            </w:r>
            <w:r w:rsidRPr="00F807A9">
              <w:rPr>
                <w:rFonts w:ascii="Times New Roman" w:hAnsi="Times New Roman"/>
              </w:rPr>
              <w:t xml:space="preserve"> = Total no. of independent samples; </w:t>
            </w:r>
            <m:oMath>
              <m:acc>
                <m:accPr>
                  <m:chr m:val="̅"/>
                  <m:ctrlPr>
                    <w:rPr>
                      <w:rFonts w:ascii="Cambria Math" w:hAnsi="Cambria Math"/>
                      <w:i/>
                    </w:rPr>
                  </m:ctrlPr>
                </m:accPr>
                <m:e>
                  <m:r>
                    <w:rPr>
                      <w:rFonts w:ascii="Cambria Math" w:hAnsi="Cambria Math"/>
                    </w:rPr>
                    <m:t>r</m:t>
                  </m:r>
                </m:e>
              </m:acc>
            </m:oMath>
            <w:r w:rsidRPr="00F807A9">
              <w:rPr>
                <w:rFonts w:ascii="Times New Roman" w:hAnsi="Times New Roman"/>
              </w:rPr>
              <w:t xml:space="preserve"> = sample size weighted mean observed correlation; </w:t>
            </w:r>
            <m:oMath>
              <m:acc>
                <m:accPr>
                  <m:ctrlPr>
                    <w:rPr>
                      <w:rFonts w:ascii="Cambria Math" w:eastAsia="Times New Roman" w:hAnsi="Cambria Math"/>
                      <w:i/>
                      <w:sz w:val="24"/>
                      <w:szCs w:val="24"/>
                      <w:lang w:eastAsia="ar-SA"/>
                    </w:rPr>
                  </m:ctrlPr>
                </m:accPr>
                <m:e>
                  <m:r>
                    <w:rPr>
                      <w:rFonts w:ascii="Cambria Math" w:hAnsi="Cambria Math"/>
                    </w:rPr>
                    <m:t>ρ</m:t>
                  </m:r>
                </m:e>
              </m:acc>
            </m:oMath>
            <w:r w:rsidRPr="00F807A9">
              <w:rPr>
                <w:rFonts w:ascii="Times New Roman" w:hAnsi="Times New Roman"/>
              </w:rPr>
              <w:t xml:space="preserve"> = mean true score correlation; </w:t>
            </w:r>
            <m:oMath>
              <m:sSup>
                <m:sSupPr>
                  <m:ctrlPr>
                    <w:rPr>
                      <w:rFonts w:ascii="Cambria Math" w:eastAsia="SimHei" w:hAnsi="Cambria Math"/>
                      <w:i/>
                    </w:rPr>
                  </m:ctrlPr>
                </m:sSupPr>
                <m:e>
                  <m:sSub>
                    <m:sSubPr>
                      <m:ctrlPr>
                        <w:rPr>
                          <w:rFonts w:ascii="Cambria Math" w:eastAsia="SimHei" w:hAnsi="Cambria Math"/>
                          <w:i/>
                        </w:rPr>
                      </m:ctrlPr>
                    </m:sSubPr>
                    <m:e>
                      <m:r>
                        <w:rPr>
                          <w:rFonts w:ascii="Cambria Math" w:eastAsia="SimHei" w:hAnsi="Cambria Math"/>
                        </w:rPr>
                        <m:t>σ</m:t>
                      </m:r>
                    </m:e>
                    <m:sub>
                      <m:r>
                        <w:rPr>
                          <w:rFonts w:ascii="Cambria Math" w:eastAsia="SimHei" w:hAnsi="Cambria Math"/>
                        </w:rPr>
                        <m:t>r</m:t>
                      </m:r>
                    </m:sub>
                  </m:sSub>
                </m:e>
                <m:sup>
                  <m:r>
                    <w:rPr>
                      <w:rFonts w:ascii="Cambria Math" w:eastAsia="SimHei" w:hAnsi="Cambria Math"/>
                    </w:rPr>
                    <m:t>2</m:t>
                  </m:r>
                </m:sup>
              </m:sSup>
            </m:oMath>
            <w:r w:rsidRPr="00F807A9">
              <w:rPr>
                <w:rFonts w:ascii="Times New Roman" w:hAnsi="Times New Roman"/>
              </w:rPr>
              <w:t xml:space="preserve"> = sample size weighted observed variance of correlations; </w:t>
            </w:r>
            <m:oMath>
              <m:sSup>
                <m:sSupPr>
                  <m:ctrlPr>
                    <w:rPr>
                      <w:rFonts w:ascii="Cambria Math" w:eastAsia="SimHei" w:hAnsi="Cambria Math"/>
                      <w:i/>
                    </w:rPr>
                  </m:ctrlPr>
                </m:sSupPr>
                <m:e>
                  <m:sSub>
                    <m:sSubPr>
                      <m:ctrlPr>
                        <w:rPr>
                          <w:rFonts w:ascii="Cambria Math" w:eastAsia="SimHei" w:hAnsi="Cambria Math"/>
                          <w:i/>
                        </w:rPr>
                      </m:ctrlPr>
                    </m:sSubPr>
                    <m:e>
                      <m:r>
                        <w:rPr>
                          <w:rFonts w:ascii="Cambria Math" w:eastAsia="SimHei" w:hAnsi="Cambria Math"/>
                        </w:rPr>
                        <m:t>σ</m:t>
                      </m:r>
                    </m:e>
                    <m:sub>
                      <m:r>
                        <w:rPr>
                          <w:rFonts w:ascii="Cambria Math" w:eastAsia="SimHei" w:hAnsi="Cambria Math"/>
                        </w:rPr>
                        <m:t>e</m:t>
                      </m:r>
                    </m:sub>
                  </m:sSub>
                </m:e>
                <m:sup>
                  <m:r>
                    <w:rPr>
                      <w:rFonts w:ascii="Cambria Math" w:eastAsia="SimHei" w:hAnsi="Cambria Math"/>
                    </w:rPr>
                    <m:t>2</m:t>
                  </m:r>
                </m:sup>
              </m:sSup>
            </m:oMath>
            <w:r w:rsidRPr="00F807A9">
              <w:rPr>
                <w:rFonts w:ascii="Times New Roman" w:hAnsi="Times New Roman"/>
              </w:rPr>
              <w:t xml:space="preserve"> = variance attributable to sampling error variance</w:t>
            </w:r>
            <w:r w:rsidR="0072390E">
              <w:rPr>
                <w:rFonts w:ascii="Times New Roman" w:hAnsi="Times New Roman"/>
              </w:rPr>
              <w:t>;</w:t>
            </w:r>
            <w:r w:rsidR="0072390E" w:rsidRPr="0034606B">
              <w:rPr>
                <w:rFonts w:ascii="Times New Roman" w:hAnsi="Times New Roman"/>
                <w:i/>
              </w:rPr>
              <w:t xml:space="preserve"> SD </w:t>
            </w:r>
            <m:oMath>
              <m:acc>
                <m:accPr>
                  <m:chr m:val="̅"/>
                  <m:ctrlPr>
                    <w:rPr>
                      <w:rFonts w:ascii="Cambria Math" w:hAnsi="Cambria Math"/>
                      <w:i/>
                    </w:rPr>
                  </m:ctrlPr>
                </m:accPr>
                <m:e>
                  <m:r>
                    <w:rPr>
                      <w:rFonts w:ascii="Cambria Math" w:hAnsi="Cambria Math"/>
                    </w:rPr>
                    <m:t>r</m:t>
                  </m:r>
                </m:e>
              </m:acc>
              <m:r>
                <w:rPr>
                  <w:rFonts w:ascii="Cambria Math" w:hAnsi="Cambria Math"/>
                </w:rPr>
                <m:t xml:space="preserve"> </m:t>
              </m:r>
            </m:oMath>
            <w:r w:rsidR="0072390E">
              <w:rPr>
                <w:rFonts w:ascii="Times New Roman" w:eastAsia="Times New Roman" w:hAnsi="Times New Roman"/>
              </w:rPr>
              <w:t xml:space="preserve">= standard deviation of observed correlation; </w:t>
            </w:r>
            <w:r w:rsidR="0072390E" w:rsidRPr="0034606B">
              <w:rPr>
                <w:rFonts w:ascii="Times New Roman" w:hAnsi="Times New Roman"/>
                <w:i/>
              </w:rPr>
              <w:t>SD</w:t>
            </w:r>
            <m:oMath>
              <m:r>
                <w:rPr>
                  <w:rFonts w:ascii="Cambria Math" w:hAnsi="Cambria Math"/>
                </w:rPr>
                <m:t xml:space="preserve"> </m:t>
              </m:r>
              <m:acc>
                <m:accPr>
                  <m:ctrlPr>
                    <w:rPr>
                      <w:rFonts w:ascii="Cambria Math" w:hAnsi="Cambria Math"/>
                      <w:i/>
                    </w:rPr>
                  </m:ctrlPr>
                </m:accPr>
                <m:e>
                  <m:r>
                    <w:rPr>
                      <w:rFonts w:ascii="Cambria Math" w:hAnsi="Cambria Math"/>
                    </w:rPr>
                    <m:t>ρ</m:t>
                  </m:r>
                </m:e>
              </m:acc>
            </m:oMath>
            <w:r w:rsidR="0072390E">
              <w:t xml:space="preserve"> </w:t>
            </w:r>
            <w:r w:rsidR="0072390E">
              <w:rPr>
                <w:rFonts w:ascii="Times New Roman" w:eastAsia="Times New Roman" w:hAnsi="Times New Roman"/>
              </w:rPr>
              <w:t>= standard deviation of true score correlation</w:t>
            </w:r>
            <w:r w:rsidRPr="00F807A9">
              <w:rPr>
                <w:rFonts w:ascii="Times New Roman" w:hAnsi="Times New Roman"/>
              </w:rPr>
              <w:t>; χ</w:t>
            </w:r>
            <w:r w:rsidRPr="00F807A9">
              <w:rPr>
                <w:rFonts w:ascii="Times New Roman" w:hAnsi="Times New Roman"/>
                <w:vertAlign w:val="superscript"/>
              </w:rPr>
              <w:t>2</w:t>
            </w:r>
            <w:r w:rsidRPr="00F807A9">
              <w:rPr>
                <w:rFonts w:ascii="Times New Roman" w:hAnsi="Times New Roman"/>
                <w:vertAlign w:val="subscript"/>
              </w:rPr>
              <w:t>K-1</w:t>
            </w:r>
            <w:r>
              <w:rPr>
                <w:rFonts w:ascii="Times New Roman" w:hAnsi="Times New Roman"/>
              </w:rPr>
              <w:t xml:space="preserve"> = (</w:t>
            </w:r>
            <w:r w:rsidRPr="00F807A9">
              <w:rPr>
                <w:rFonts w:ascii="Times New Roman" w:hAnsi="Times New Roman"/>
              </w:rPr>
              <w:t xml:space="preserve">N / (1 - </w:t>
            </w:r>
            <m:oMath>
              <m:acc>
                <m:accPr>
                  <m:chr m:val="̅"/>
                  <m:ctrlPr>
                    <w:rPr>
                      <w:rFonts w:ascii="Cambria Math" w:hAnsi="Cambria Math"/>
                      <w:i/>
                    </w:rPr>
                  </m:ctrlPr>
                </m:accPr>
                <m:e>
                  <m:r>
                    <m:rPr>
                      <m:nor/>
                    </m:rPr>
                    <w:rPr>
                      <w:rFonts w:ascii="Times New Roman" w:hAnsi="Times New Roman"/>
                      <w:i/>
                    </w:rPr>
                    <m:t>r</m:t>
                  </m:r>
                </m:e>
              </m:acc>
            </m:oMath>
            <w:r w:rsidRPr="00F807A9">
              <w:rPr>
                <w:rFonts w:ascii="Times New Roman" w:hAnsi="Times New Roman"/>
              </w:rPr>
              <w:t xml:space="preserve"> </w:t>
            </w:r>
            <w:r w:rsidRPr="00F807A9">
              <w:rPr>
                <w:rFonts w:ascii="Times New Roman" w:hAnsi="Times New Roman"/>
                <w:vertAlign w:val="superscript"/>
              </w:rPr>
              <w:t>2</w:t>
            </w:r>
            <w:r w:rsidRPr="00F807A9">
              <w:rPr>
                <w:rFonts w:ascii="Times New Roman" w:hAnsi="Times New Roman"/>
              </w:rPr>
              <w:t>)</w:t>
            </w:r>
            <w:r w:rsidRPr="00F807A9">
              <w:rPr>
                <w:rFonts w:ascii="Times New Roman" w:hAnsi="Times New Roman"/>
                <w:vertAlign w:val="superscript"/>
              </w:rPr>
              <w:t xml:space="preserve">2 </w:t>
            </w:r>
            <w:r w:rsidRPr="00F807A9">
              <w:rPr>
                <w:rFonts w:ascii="Times New Roman" w:hAnsi="Times New Roman"/>
              </w:rPr>
              <w:t>) σ</w:t>
            </w:r>
            <w:r w:rsidRPr="00F807A9">
              <w:rPr>
                <w:rFonts w:ascii="Times New Roman" w:hAnsi="Times New Roman"/>
                <w:vertAlign w:val="subscript"/>
              </w:rPr>
              <w:t>r</w:t>
            </w:r>
            <w:r w:rsidRPr="00F807A9">
              <w:rPr>
                <w:rFonts w:ascii="Times New Roman" w:hAnsi="Times New Roman"/>
                <w:vertAlign w:val="superscript"/>
              </w:rPr>
              <w:t>2</w:t>
            </w:r>
            <w:r w:rsidRPr="00F807A9">
              <w:rPr>
                <w:rFonts w:ascii="Times New Roman" w:hAnsi="Times New Roman"/>
              </w:rPr>
              <w:t xml:space="preserve"> tests homogeneity of correlations (i.e.</w:t>
            </w:r>
            <w:r>
              <w:rPr>
                <w:rFonts w:ascii="Times New Roman" w:hAnsi="Times New Roman"/>
              </w:rPr>
              <w:t>,</w:t>
            </w:r>
            <w:r w:rsidRPr="00F807A9">
              <w:rPr>
                <w:rFonts w:ascii="Times New Roman" w:hAnsi="Times New Roman"/>
              </w:rPr>
              <w:t xml:space="preserve"> whether the residual variance is significantly large);</w:t>
            </w:r>
          </w:p>
          <w:p w14:paraId="5300D1D3" w14:textId="64FC4C18" w:rsidR="00167365" w:rsidRDefault="00167365" w:rsidP="00167365">
            <w:pPr>
              <w:pStyle w:val="FootnoteText"/>
              <w:rPr>
                <w:rFonts w:ascii="Times New Roman" w:eastAsia="Times New Roman" w:hAnsi="Times New Roman"/>
              </w:rPr>
            </w:pPr>
            <w:r w:rsidRPr="00F807A9">
              <w:rPr>
                <w:rFonts w:ascii="Times New Roman" w:eastAsia="Times New Roman" w:hAnsi="Times New Roman"/>
              </w:rPr>
              <w:t xml:space="preserve">80% credibility intervals </w:t>
            </w:r>
            <w:r>
              <w:rPr>
                <w:rFonts w:ascii="Times New Roman" w:eastAsia="Times New Roman" w:hAnsi="Times New Roman"/>
              </w:rPr>
              <w:t>were</w:t>
            </w:r>
            <w:r w:rsidRPr="00F807A9">
              <w:rPr>
                <w:rFonts w:ascii="Times New Roman" w:eastAsia="Times New Roman" w:hAnsi="Times New Roman"/>
              </w:rPr>
              <w:t xml:space="preserve"> calculated using </w:t>
            </w:r>
            <m:oMath>
              <m:acc>
                <m:accPr>
                  <m:ctrlPr>
                    <w:rPr>
                      <w:rFonts w:ascii="Cambria Math" w:eastAsia="Times New Roman" w:hAnsi="Cambria Math"/>
                      <w:i/>
                      <w:sz w:val="24"/>
                      <w:szCs w:val="24"/>
                      <w:lang w:eastAsia="ar-SA"/>
                    </w:rPr>
                  </m:ctrlPr>
                </m:accPr>
                <m:e>
                  <m:r>
                    <w:rPr>
                      <w:rFonts w:ascii="Cambria Math" w:hAnsi="Cambria Math"/>
                    </w:rPr>
                    <m:t>ρ</m:t>
                  </m:r>
                </m:e>
              </m:acc>
            </m:oMath>
            <w:r w:rsidRPr="00F807A9">
              <w:rPr>
                <w:rFonts w:ascii="Times New Roman" w:eastAsia="Times New Roman" w:hAnsi="Times New Roman"/>
              </w:rPr>
              <w:t xml:space="preserve"> and the standard deviation of </w:t>
            </w:r>
            <m:oMath>
              <m:acc>
                <m:accPr>
                  <m:ctrlPr>
                    <w:rPr>
                      <w:rFonts w:ascii="Cambria Math" w:eastAsia="Times New Roman" w:hAnsi="Cambria Math"/>
                      <w:i/>
                      <w:sz w:val="24"/>
                      <w:szCs w:val="24"/>
                      <w:lang w:eastAsia="ar-SA"/>
                    </w:rPr>
                  </m:ctrlPr>
                </m:accPr>
                <m:e>
                  <m:r>
                    <w:rPr>
                      <w:rFonts w:ascii="Cambria Math" w:hAnsi="Cambria Math"/>
                    </w:rPr>
                    <m:t>ρ</m:t>
                  </m:r>
                </m:e>
              </m:acc>
            </m:oMath>
            <w:r w:rsidRPr="00F807A9">
              <w:rPr>
                <w:rFonts w:ascii="Times New Roman" w:eastAsia="Times New Roman" w:hAnsi="Times New Roman"/>
              </w:rPr>
              <w:t>; 95% confidence inter</w:t>
            </w:r>
            <w:r>
              <w:rPr>
                <w:rFonts w:ascii="Times New Roman" w:eastAsia="Times New Roman" w:hAnsi="Times New Roman"/>
              </w:rPr>
              <w:t>vals were calculated using</w:t>
            </w:r>
            <w:r w:rsidRPr="00F807A9">
              <w:rPr>
                <w:rFonts w:ascii="Times New Roman" w:eastAsia="Times New Roman" w:hAnsi="Times New Roman"/>
              </w:rPr>
              <w:t xml:space="preserve"> </w:t>
            </w:r>
            <m:oMath>
              <m:acc>
                <m:accPr>
                  <m:chr m:val="̅"/>
                  <m:ctrlPr>
                    <w:rPr>
                      <w:rFonts w:ascii="Cambria Math" w:hAnsi="Cambria Math"/>
                      <w:i/>
                    </w:rPr>
                  </m:ctrlPr>
                </m:accPr>
                <m:e>
                  <m:r>
                    <w:rPr>
                      <w:rFonts w:ascii="Cambria Math" w:hAnsi="Cambria Math"/>
                    </w:rPr>
                    <m:t>r</m:t>
                  </m:r>
                </m:e>
              </m:acc>
            </m:oMath>
            <w:r w:rsidRPr="00F807A9">
              <w:rPr>
                <w:rFonts w:ascii="Times New Roman" w:eastAsia="Times New Roman" w:hAnsi="Times New Roman"/>
              </w:rPr>
              <w:t xml:space="preserve"> and standard error based on sampling error variance </w:t>
            </w:r>
            <m:oMath>
              <m:sSup>
                <m:sSupPr>
                  <m:ctrlPr>
                    <w:rPr>
                      <w:rFonts w:ascii="Cambria Math" w:eastAsia="SimHei" w:hAnsi="Cambria Math"/>
                      <w:i/>
                    </w:rPr>
                  </m:ctrlPr>
                </m:sSupPr>
                <m:e>
                  <m:sSub>
                    <m:sSubPr>
                      <m:ctrlPr>
                        <w:rPr>
                          <w:rFonts w:ascii="Cambria Math" w:eastAsia="SimHei" w:hAnsi="Cambria Math"/>
                          <w:i/>
                        </w:rPr>
                      </m:ctrlPr>
                    </m:sSubPr>
                    <m:e>
                      <m:r>
                        <w:rPr>
                          <w:rFonts w:ascii="Cambria Math" w:eastAsia="SimHei" w:hAnsi="Cambria Math"/>
                        </w:rPr>
                        <m:t>σ</m:t>
                      </m:r>
                    </m:e>
                    <m:sub>
                      <m:r>
                        <w:rPr>
                          <w:rFonts w:ascii="Cambria Math" w:eastAsia="SimHei" w:hAnsi="Cambria Math"/>
                        </w:rPr>
                        <m:t>e</m:t>
                      </m:r>
                    </m:sub>
                  </m:sSub>
                </m:e>
                <m:sup>
                  <m:r>
                    <w:rPr>
                      <w:rFonts w:ascii="Cambria Math" w:eastAsia="SimHei" w:hAnsi="Cambria Math"/>
                    </w:rPr>
                    <m:t>2</m:t>
                  </m:r>
                </m:sup>
              </m:sSup>
            </m:oMath>
            <w:r w:rsidRPr="00F807A9">
              <w:rPr>
                <w:rFonts w:ascii="Times New Roman" w:eastAsia="Times New Roman" w:hAnsi="Times New Roman"/>
              </w:rPr>
              <w:t xml:space="preserve"> when population effect size variance is zero (i.e.</w:t>
            </w:r>
            <w:r>
              <w:rPr>
                <w:rFonts w:ascii="Times New Roman" w:eastAsia="Times New Roman" w:hAnsi="Times New Roman"/>
              </w:rPr>
              <w:t>,</w:t>
            </w:r>
            <w:r w:rsidRPr="00F807A9">
              <w:rPr>
                <w:rFonts w:ascii="Times New Roman" w:eastAsia="Times New Roman" w:hAnsi="Times New Roman"/>
              </w:rPr>
              <w:t xml:space="preserve"> homogeneous) or using </w:t>
            </w:r>
            <m:oMath>
              <m:acc>
                <m:accPr>
                  <m:chr m:val="̅"/>
                  <m:ctrlPr>
                    <w:rPr>
                      <w:rFonts w:ascii="Cambria Math" w:hAnsi="Cambria Math"/>
                      <w:i/>
                    </w:rPr>
                  </m:ctrlPr>
                </m:accPr>
                <m:e>
                  <m:r>
                    <w:rPr>
                      <w:rFonts w:ascii="Cambria Math" w:hAnsi="Cambria Math"/>
                    </w:rPr>
                    <m:t>r</m:t>
                  </m:r>
                </m:e>
              </m:acc>
            </m:oMath>
            <w:r w:rsidRPr="00F807A9">
              <w:rPr>
                <w:rFonts w:ascii="Times New Roman" w:eastAsia="Times New Roman" w:hAnsi="Times New Roman"/>
              </w:rPr>
              <w:t xml:space="preserve"> and standard error based on the residual variance of correlations after removing sampling error variance (i.e.</w:t>
            </w:r>
            <w:r>
              <w:rPr>
                <w:rFonts w:ascii="Times New Roman" w:eastAsia="Times New Roman" w:hAnsi="Times New Roman"/>
              </w:rPr>
              <w:t>,</w:t>
            </w:r>
            <w:r w:rsidRPr="00F807A9">
              <w:rPr>
                <w:rFonts w:ascii="Times New Roman" w:eastAsia="Times New Roman" w:hAnsi="Times New Roman"/>
              </w:rPr>
              <w:t xml:space="preserve"> heterogeneous) (Whitener, 1990).</w:t>
            </w:r>
          </w:p>
          <w:p w14:paraId="617E74ED" w14:textId="3493D389" w:rsidR="00167365" w:rsidRPr="00167365" w:rsidRDefault="00AA19E8" w:rsidP="00AA19E8">
            <w:pPr>
              <w:pStyle w:val="FootnoteText"/>
              <w:rPr>
                <w:rFonts w:ascii="Times New Roman" w:hAnsi="Times New Roman"/>
              </w:rPr>
            </w:pPr>
            <w:r>
              <w:rPr>
                <w:rFonts w:ascii="Times New Roman" w:hAnsi="Times New Roman"/>
                <w:vertAlign w:val="superscript"/>
              </w:rPr>
              <w:t>1</w:t>
            </w:r>
            <w:r w:rsidRPr="00431AD3">
              <w:rPr>
                <w:rFonts w:ascii="Times New Roman" w:hAnsi="Times New Roman"/>
                <w:vertAlign w:val="superscript"/>
              </w:rPr>
              <w:t xml:space="preserve"> </w:t>
            </w:r>
            <w:r>
              <w:rPr>
                <w:rFonts w:ascii="Times New Roman" w:hAnsi="Times New Roman"/>
              </w:rPr>
              <w:t xml:space="preserve">Hunter and Schmidt (2004) method cannot compute </w:t>
            </w:r>
            <w:r w:rsidRPr="0034606B">
              <w:rPr>
                <w:rFonts w:ascii="Times New Roman" w:hAnsi="Times New Roman"/>
                <w:i/>
              </w:rPr>
              <w:t>SD</w:t>
            </w:r>
            <m:oMath>
              <m:r>
                <w:rPr>
                  <w:rFonts w:ascii="Cambria Math" w:hAnsi="Cambria Math"/>
                </w:rPr>
                <m:t xml:space="preserve"> </m:t>
              </m:r>
              <m:acc>
                <m:accPr>
                  <m:ctrlPr>
                    <w:rPr>
                      <w:rFonts w:ascii="Cambria Math" w:hAnsi="Cambria Math"/>
                      <w:i/>
                    </w:rPr>
                  </m:ctrlPr>
                </m:accPr>
                <m:e>
                  <m:r>
                    <w:rPr>
                      <w:rFonts w:ascii="Cambria Math" w:hAnsi="Cambria Math"/>
                    </w:rPr>
                    <m:t>ρ</m:t>
                  </m:r>
                </m:e>
              </m:acc>
            </m:oMath>
            <w:r>
              <w:rPr>
                <w:rFonts w:ascii="Times New Roman" w:hAnsi="Times New Roman"/>
                <w:i/>
              </w:rPr>
              <w:t xml:space="preserve"> </w:t>
            </w:r>
            <w:r>
              <w:rPr>
                <w:rFonts w:ascii="Times New Roman" w:hAnsi="Times New Roman"/>
              </w:rPr>
              <w:t>because it overestimates variance due to sampling error when N is small (</w:t>
            </w:r>
            <w:proofErr w:type="spellStart"/>
            <w:r>
              <w:rPr>
                <w:rFonts w:ascii="Times New Roman" w:hAnsi="Times New Roman"/>
              </w:rPr>
              <w:t>Brannick</w:t>
            </w:r>
            <w:proofErr w:type="spellEnd"/>
            <w:r>
              <w:rPr>
                <w:rFonts w:ascii="Times New Roman" w:hAnsi="Times New Roman"/>
              </w:rPr>
              <w:t xml:space="preserve"> &amp; Hall, 2001)</w:t>
            </w:r>
          </w:p>
        </w:tc>
      </w:tr>
    </w:tbl>
    <w:p w14:paraId="1EAB7848" w14:textId="77777777" w:rsidR="008C571D" w:rsidRDefault="008C571D" w:rsidP="008C571D">
      <w:pPr>
        <w:suppressAutoHyphens w:val="0"/>
        <w:spacing w:after="200" w:line="276" w:lineRule="auto"/>
        <w:sectPr w:rsidR="008C571D" w:rsidSect="007C3D19">
          <w:headerReference w:type="default" r:id="rId12"/>
          <w:pgSz w:w="15840" w:h="12240" w:orient="landscape"/>
          <w:pgMar w:top="1440" w:right="1440" w:bottom="1440" w:left="1440" w:header="720" w:footer="720" w:gutter="0"/>
          <w:cols w:space="720"/>
          <w:docGrid w:linePitch="360"/>
        </w:sectPr>
      </w:pPr>
    </w:p>
    <w:p w14:paraId="333230D5" w14:textId="77777777" w:rsidR="008C571D" w:rsidRDefault="008C571D" w:rsidP="008C571D">
      <w:pPr>
        <w:jc w:val="center"/>
      </w:pPr>
      <w:r w:rsidRPr="00602A49">
        <w:lastRenderedPageBreak/>
        <w:t>Figure 1</w:t>
      </w:r>
    </w:p>
    <w:p w14:paraId="27882A94" w14:textId="1AE5D204" w:rsidR="00803C9A" w:rsidRDefault="008C571D" w:rsidP="008C571D">
      <w:pPr>
        <w:jc w:val="center"/>
      </w:pPr>
      <w:r w:rsidRPr="00602A49">
        <w:t xml:space="preserve">Plots of Interactions for Gender Egalitarianism </w:t>
      </w:r>
      <w:r>
        <w:t xml:space="preserve">Practice </w:t>
      </w:r>
      <w:r w:rsidRPr="00602A49">
        <w:t>as Moderator</w:t>
      </w:r>
      <w:r w:rsidR="008D3059" w:rsidRPr="00E91E9F">
        <w:rPr>
          <w:vertAlign w:val="superscript"/>
        </w:rPr>
        <w:t>1</w:t>
      </w:r>
      <w:r w:rsidRPr="00602A49">
        <w:t xml:space="preserve"> </w:t>
      </w:r>
    </w:p>
    <w:p w14:paraId="2DD64962" w14:textId="77777777" w:rsidR="008C571D" w:rsidRDefault="008C571D" w:rsidP="008C571D">
      <w:pPr>
        <w:jc w:val="center"/>
      </w:pPr>
      <w:r w:rsidRPr="00602A49">
        <w:t>(</w:t>
      </w:r>
      <w:r>
        <w:t xml:space="preserve">Complementary </w:t>
      </w:r>
      <w:r w:rsidRPr="00602A49">
        <w:t>Study</w:t>
      </w:r>
      <w:r w:rsidR="00803C9A">
        <w:t xml:space="preserve"> 1 - Employee Survey</w:t>
      </w:r>
      <w:r w:rsidRPr="00602A49">
        <w:t>)</w:t>
      </w:r>
    </w:p>
    <w:p w14:paraId="10C9F15F" w14:textId="77777777" w:rsidR="00167365" w:rsidRDefault="00167365" w:rsidP="008C571D">
      <w:pPr>
        <w:jc w:val="center"/>
      </w:pPr>
    </w:p>
    <w:p w14:paraId="7DB692A8" w14:textId="6920C078" w:rsidR="008D3059" w:rsidRDefault="000E6D7C" w:rsidP="008C571D">
      <w:pPr>
        <w:jc w:val="center"/>
      </w:pPr>
      <w:r>
        <w:rPr>
          <w:noProof/>
          <w:lang w:eastAsia="en-US"/>
        </w:rPr>
        <w:drawing>
          <wp:inline distT="0" distB="0" distL="0" distR="0" wp14:anchorId="335440C2" wp14:editId="5C38D018">
            <wp:extent cx="3924300" cy="22479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24300" cy="2247900"/>
                    </a:xfrm>
                    <a:prstGeom prst="rect">
                      <a:avLst/>
                    </a:prstGeom>
                    <a:noFill/>
                    <a:ln>
                      <a:noFill/>
                    </a:ln>
                  </pic:spPr>
                </pic:pic>
              </a:graphicData>
            </a:graphic>
          </wp:inline>
        </w:drawing>
      </w:r>
      <w:r>
        <w:rPr>
          <w:noProof/>
          <w:lang w:eastAsia="en-US"/>
        </w:rPr>
        <w:drawing>
          <wp:inline distT="0" distB="0" distL="0" distR="0" wp14:anchorId="52D4AB9E" wp14:editId="5B53F04A">
            <wp:extent cx="3917255" cy="2286000"/>
            <wp:effectExtent l="0" t="0" r="762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17255" cy="2286000"/>
                    </a:xfrm>
                    <a:prstGeom prst="rect">
                      <a:avLst/>
                    </a:prstGeom>
                    <a:noFill/>
                  </pic:spPr>
                </pic:pic>
              </a:graphicData>
            </a:graphic>
          </wp:inline>
        </w:drawing>
      </w:r>
      <w:r w:rsidR="00926844">
        <w:rPr>
          <w:noProof/>
          <w:lang w:eastAsia="en-US"/>
        </w:rPr>
        <w:drawing>
          <wp:inline distT="0" distB="0" distL="0" distR="0" wp14:anchorId="710A5E42" wp14:editId="1C9B2E8C">
            <wp:extent cx="3917255" cy="228600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17255" cy="2286000"/>
                    </a:xfrm>
                    <a:prstGeom prst="rect">
                      <a:avLst/>
                    </a:prstGeom>
                    <a:noFill/>
                  </pic:spPr>
                </pic:pic>
              </a:graphicData>
            </a:graphic>
          </wp:inline>
        </w:drawing>
      </w:r>
    </w:p>
    <w:p w14:paraId="737C3105" w14:textId="77777777" w:rsidR="008D3059" w:rsidRDefault="008D3059" w:rsidP="00E91E9F">
      <w:pPr>
        <w:rPr>
          <w:vertAlign w:val="superscript"/>
        </w:rPr>
      </w:pPr>
    </w:p>
    <w:p w14:paraId="2E3D88E7" w14:textId="04F7FEEA" w:rsidR="008C571D" w:rsidRPr="00E91E9F" w:rsidRDefault="00122FDA" w:rsidP="00E91E9F">
      <w:pPr>
        <w:rPr>
          <w:vertAlign w:val="superscript"/>
        </w:rPr>
      </w:pPr>
      <w:r w:rsidRPr="00452202">
        <w:rPr>
          <w:sz w:val="20"/>
          <w:szCs w:val="20"/>
          <w:vertAlign w:val="superscript"/>
        </w:rPr>
        <w:t>1</w:t>
      </w:r>
      <w:r w:rsidRPr="00452202">
        <w:rPr>
          <w:sz w:val="20"/>
          <w:szCs w:val="20"/>
        </w:rPr>
        <w:t xml:space="preserve"> </w:t>
      </w:r>
      <w:r w:rsidR="008D3059" w:rsidRPr="00452202">
        <w:rPr>
          <w:sz w:val="20"/>
          <w:szCs w:val="20"/>
        </w:rPr>
        <w:t>Shaded bands represent 95% confidence intervals</w:t>
      </w:r>
      <w:r w:rsidR="002C4144">
        <w:rPr>
          <w:sz w:val="20"/>
          <w:szCs w:val="20"/>
        </w:rPr>
        <w:t>.</w:t>
      </w:r>
      <w:r w:rsidR="008C571D" w:rsidRPr="00E91E9F">
        <w:rPr>
          <w:vertAlign w:val="superscript"/>
        </w:rPr>
        <w:br w:type="page"/>
      </w:r>
    </w:p>
    <w:p w14:paraId="09B9D306" w14:textId="77777777" w:rsidR="008C571D" w:rsidRPr="00602A49" w:rsidRDefault="008C571D" w:rsidP="008C571D">
      <w:pPr>
        <w:jc w:val="center"/>
      </w:pPr>
      <w:r w:rsidRPr="00602A49">
        <w:lastRenderedPageBreak/>
        <w:t>Figure 2</w:t>
      </w:r>
    </w:p>
    <w:p w14:paraId="38E13D22" w14:textId="57A70483" w:rsidR="008C571D" w:rsidRDefault="008C571D" w:rsidP="008C571D">
      <w:pPr>
        <w:jc w:val="center"/>
      </w:pPr>
      <w:r w:rsidRPr="00602A49">
        <w:t xml:space="preserve">Plots of Interactions for Labor Policy </w:t>
      </w:r>
      <w:r>
        <w:t xml:space="preserve">Integration and Practice </w:t>
      </w:r>
      <w:r w:rsidRPr="00602A49">
        <w:t>Enforcement as Moderator</w:t>
      </w:r>
      <w:r w:rsidR="00131A3B" w:rsidRPr="00662A8C">
        <w:rPr>
          <w:vertAlign w:val="superscript"/>
        </w:rPr>
        <w:t>1</w:t>
      </w:r>
    </w:p>
    <w:p w14:paraId="33F324C8" w14:textId="77777777" w:rsidR="008C571D" w:rsidRPr="00602A49" w:rsidRDefault="008C571D" w:rsidP="008C571D">
      <w:pPr>
        <w:jc w:val="center"/>
      </w:pPr>
      <w:r w:rsidRPr="00602A49">
        <w:t>(</w:t>
      </w:r>
      <w:r>
        <w:t xml:space="preserve">Complementary </w:t>
      </w:r>
      <w:r w:rsidRPr="00602A49">
        <w:t>Study</w:t>
      </w:r>
      <w:r w:rsidR="00803C9A">
        <w:t xml:space="preserve"> 1 – Employee Survey</w:t>
      </w:r>
      <w:r w:rsidRPr="00602A49">
        <w:t>)</w:t>
      </w:r>
    </w:p>
    <w:p w14:paraId="11D6E7EC" w14:textId="77777777" w:rsidR="008C571D" w:rsidRDefault="008C571D" w:rsidP="008C571D">
      <w:pPr>
        <w:rPr>
          <w:b/>
        </w:rPr>
      </w:pPr>
    </w:p>
    <w:p w14:paraId="7C8C0559" w14:textId="5B34C7A2" w:rsidR="008C571D" w:rsidRDefault="00EA06B1" w:rsidP="008C571D">
      <w:pPr>
        <w:rPr>
          <w:noProof/>
          <w:lang w:eastAsia="en-US"/>
        </w:rPr>
      </w:pPr>
      <w:r>
        <w:rPr>
          <w:noProof/>
          <w:lang w:eastAsia="en-US"/>
        </w:rPr>
        <w:drawing>
          <wp:inline distT="0" distB="0" distL="0" distR="0" wp14:anchorId="7F3C4D80" wp14:editId="420EE492">
            <wp:extent cx="2926080" cy="1707578"/>
            <wp:effectExtent l="0" t="0" r="7620" b="698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26080" cy="1707578"/>
                    </a:xfrm>
                    <a:prstGeom prst="rect">
                      <a:avLst/>
                    </a:prstGeom>
                    <a:noFill/>
                  </pic:spPr>
                </pic:pic>
              </a:graphicData>
            </a:graphic>
          </wp:inline>
        </w:drawing>
      </w:r>
      <w:r w:rsidR="008C571D" w:rsidRPr="00090D77">
        <w:rPr>
          <w:noProof/>
          <w:lang w:eastAsia="en-US"/>
        </w:rPr>
        <w:t xml:space="preserve"> </w:t>
      </w:r>
      <w:r>
        <w:rPr>
          <w:noProof/>
          <w:lang w:eastAsia="en-US"/>
        </w:rPr>
        <w:drawing>
          <wp:inline distT="0" distB="0" distL="0" distR="0" wp14:anchorId="4A419216" wp14:editId="5C3F9DE4">
            <wp:extent cx="2886075" cy="1710890"/>
            <wp:effectExtent l="0" t="0" r="0"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87955" cy="1712005"/>
                    </a:xfrm>
                    <a:prstGeom prst="rect">
                      <a:avLst/>
                    </a:prstGeom>
                    <a:noFill/>
                  </pic:spPr>
                </pic:pic>
              </a:graphicData>
            </a:graphic>
          </wp:inline>
        </w:drawing>
      </w:r>
    </w:p>
    <w:p w14:paraId="22B62583" w14:textId="539A4086" w:rsidR="008C571D" w:rsidRDefault="00EA06B1" w:rsidP="008C571D">
      <w:r>
        <w:rPr>
          <w:noProof/>
          <w:lang w:eastAsia="en-US"/>
        </w:rPr>
        <w:drawing>
          <wp:inline distT="0" distB="0" distL="0" distR="0" wp14:anchorId="6A82EC10" wp14:editId="53394F4E">
            <wp:extent cx="2926080" cy="1707578"/>
            <wp:effectExtent l="0" t="0" r="7620" b="698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26080" cy="1707578"/>
                    </a:xfrm>
                    <a:prstGeom prst="rect">
                      <a:avLst/>
                    </a:prstGeom>
                    <a:noFill/>
                  </pic:spPr>
                </pic:pic>
              </a:graphicData>
            </a:graphic>
          </wp:inline>
        </w:drawing>
      </w:r>
      <w:r w:rsidR="00AA1E1F">
        <w:rPr>
          <w:noProof/>
          <w:lang w:eastAsia="en-US"/>
        </w:rPr>
        <w:drawing>
          <wp:inline distT="0" distB="0" distL="0" distR="0" wp14:anchorId="6612A9E3" wp14:editId="6D236C51">
            <wp:extent cx="2924175" cy="17049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926936" cy="1706585"/>
                    </a:xfrm>
                    <a:prstGeom prst="rect">
                      <a:avLst/>
                    </a:prstGeom>
                    <a:noFill/>
                  </pic:spPr>
                </pic:pic>
              </a:graphicData>
            </a:graphic>
          </wp:inline>
        </w:drawing>
      </w:r>
    </w:p>
    <w:p w14:paraId="40C9E7EF" w14:textId="0FE3BBF6" w:rsidR="008C571D" w:rsidRDefault="00AA1E1F" w:rsidP="00167365">
      <w:pPr>
        <w:jc w:val="center"/>
      </w:pPr>
      <w:r>
        <w:rPr>
          <w:noProof/>
          <w:lang w:eastAsia="en-US"/>
        </w:rPr>
        <w:drawing>
          <wp:inline distT="0" distB="0" distL="0" distR="0" wp14:anchorId="522CDE45" wp14:editId="1138C299">
            <wp:extent cx="2790825" cy="16954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93460" cy="1697051"/>
                    </a:xfrm>
                    <a:prstGeom prst="rect">
                      <a:avLst/>
                    </a:prstGeom>
                    <a:noFill/>
                  </pic:spPr>
                </pic:pic>
              </a:graphicData>
            </a:graphic>
          </wp:inline>
        </w:drawing>
      </w:r>
    </w:p>
    <w:p w14:paraId="1CD39165" w14:textId="77777777" w:rsidR="008C571D" w:rsidRDefault="008C571D" w:rsidP="008C571D"/>
    <w:p w14:paraId="7B7D93CC" w14:textId="4F5F9861" w:rsidR="009A2174" w:rsidRDefault="009A2174" w:rsidP="00276D00">
      <w:pPr>
        <w:suppressAutoHyphens w:val="0"/>
      </w:pPr>
    </w:p>
    <w:p w14:paraId="216592D6" w14:textId="7C71386E" w:rsidR="00386BB7" w:rsidRPr="00452202" w:rsidRDefault="00386BB7" w:rsidP="00386BB7">
      <w:pPr>
        <w:rPr>
          <w:sz w:val="20"/>
          <w:szCs w:val="20"/>
        </w:rPr>
      </w:pPr>
      <w:r w:rsidRPr="00452202">
        <w:rPr>
          <w:sz w:val="20"/>
          <w:szCs w:val="20"/>
          <w:vertAlign w:val="superscript"/>
        </w:rPr>
        <w:t>1</w:t>
      </w:r>
      <w:r w:rsidRPr="00452202">
        <w:rPr>
          <w:sz w:val="20"/>
          <w:szCs w:val="20"/>
        </w:rPr>
        <w:t xml:space="preserve"> Shaded bands represent 95% confidence intervals. </w:t>
      </w:r>
      <w:r w:rsidRPr="00452202">
        <w:rPr>
          <w:bCs/>
          <w:sz w:val="20"/>
          <w:szCs w:val="20"/>
        </w:rPr>
        <w:t xml:space="preserve">In some cases, smaller standard errors limit the visibility of the confidence bands. </w:t>
      </w:r>
    </w:p>
    <w:sectPr w:rsidR="00386BB7" w:rsidRPr="00452202" w:rsidSect="00113868">
      <w:head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BC7D6" w14:textId="77777777" w:rsidR="00A96EC9" w:rsidRDefault="00A96EC9" w:rsidP="00D7686B"/>
  </w:endnote>
  <w:endnote w:type="continuationSeparator" w:id="0">
    <w:p w14:paraId="6C0A0B4D" w14:textId="77777777" w:rsidR="00A96EC9" w:rsidRDefault="00A96EC9" w:rsidP="00D7686B"/>
  </w:endnote>
  <w:endnote w:type="continuationNotice" w:id="1">
    <w:p w14:paraId="05FD88D4" w14:textId="77777777" w:rsidR="00A96EC9" w:rsidRDefault="00A96E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Lucida">
    <w:altName w:val="Times New Roman"/>
    <w:charset w:val="00"/>
    <w:family w:val="roman"/>
    <w:pitch w:val="default"/>
  </w:font>
  <w:font w:name="Trebuchet MS">
    <w:panose1 w:val="020B0603020202020204"/>
    <w:charset w:val="00"/>
    <w:family w:val="swiss"/>
    <w:pitch w:val="variable"/>
    <w:sig w:usb0="00000687" w:usb1="00000000" w:usb2="00000000" w:usb3="00000000" w:csb0="0000009F" w:csb1="00000000"/>
  </w:font>
  <w:font w:name="TimesNewRomanPSMT">
    <w:altName w:val="Yu Gothic UI"/>
    <w:panose1 w:val="00000000000000000000"/>
    <w:charset w:val="86"/>
    <w:family w:val="auto"/>
    <w:notTrueType/>
    <w:pitch w:val="default"/>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550BE" w14:textId="77777777" w:rsidR="00A96EC9" w:rsidRDefault="00A96EC9" w:rsidP="00D7686B">
      <w:r>
        <w:separator/>
      </w:r>
    </w:p>
  </w:footnote>
  <w:footnote w:type="continuationSeparator" w:id="0">
    <w:p w14:paraId="144B9557" w14:textId="77777777" w:rsidR="00A96EC9" w:rsidRDefault="00A96EC9" w:rsidP="00D7686B">
      <w:r>
        <w:continuationSeparator/>
      </w:r>
    </w:p>
  </w:footnote>
  <w:footnote w:type="continuationNotice" w:id="1">
    <w:p w14:paraId="2F5A4013" w14:textId="77777777" w:rsidR="00A96EC9" w:rsidRDefault="00A96E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55CAD" w14:textId="1A1850D0" w:rsidR="00A96EC9" w:rsidRDefault="00A96EC9" w:rsidP="002904FA">
    <w:pPr>
      <w:pStyle w:val="Header"/>
      <w:tabs>
        <w:tab w:val="clear" w:pos="4320"/>
        <w:tab w:val="clear" w:pos="8640"/>
      </w:tabs>
      <w:ind w:right="15"/>
    </w:pPr>
    <w:r>
      <w:t>PERCEIVED GENDER DISCRIMINATION</w:t>
    </w:r>
    <w:r>
      <w:tab/>
    </w:r>
    <w:r>
      <w:tab/>
    </w:r>
    <w:r>
      <w:tab/>
      <w:t xml:space="preserve">   </w:t>
    </w:r>
    <w:r>
      <w:tab/>
      <w:t xml:space="preserve">                   </w:t>
    </w:r>
    <w:r>
      <w:tab/>
      <w:t xml:space="preserve">       </w:t>
    </w:r>
    <w:r>
      <w:fldChar w:fldCharType="begin"/>
    </w:r>
    <w:r>
      <w:instrText xml:space="preserve"> PAGE </w:instrText>
    </w:r>
    <w:r>
      <w:fldChar w:fldCharType="separate"/>
    </w:r>
    <w:r w:rsidR="00FE3B0E">
      <w:rPr>
        <w:noProof/>
      </w:rPr>
      <w:t>20</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CFD4A" w14:textId="2EECFF42" w:rsidR="00A96EC9" w:rsidRDefault="00A96EC9" w:rsidP="002904FA">
    <w:pPr>
      <w:pStyle w:val="Header"/>
    </w:pPr>
    <w:r>
      <w:t xml:space="preserve">PERCEIVED GENDER DISCRIMINATION                                                                              </w:t>
    </w:r>
    <w:r>
      <w:fldChar w:fldCharType="begin"/>
    </w:r>
    <w:r>
      <w:instrText xml:space="preserve"> PAGE   \* MERGEFORMAT </w:instrText>
    </w:r>
    <w:r>
      <w:fldChar w:fldCharType="separate"/>
    </w:r>
    <w:r w:rsidR="00FE3B0E">
      <w:rPr>
        <w:noProof/>
      </w:rPr>
      <w:t>3</w:t>
    </w:r>
    <w:r>
      <w:rPr>
        <w:noProof/>
      </w:rPr>
      <w:fldChar w:fldCharType="end"/>
    </w:r>
  </w:p>
  <w:p w14:paraId="17FDE87C" w14:textId="77777777" w:rsidR="00A96EC9" w:rsidRDefault="00A96E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89098" w14:textId="43394266" w:rsidR="00A96EC9" w:rsidRDefault="00A96EC9" w:rsidP="002904FA">
    <w:pPr>
      <w:pStyle w:val="Header"/>
      <w:tabs>
        <w:tab w:val="clear" w:pos="4320"/>
        <w:tab w:val="clear" w:pos="8640"/>
      </w:tabs>
      <w:ind w:right="15"/>
    </w:pPr>
    <w:r>
      <w:t>PERCEIVED GENDER DISCRIMINATION</w:t>
    </w:r>
    <w:r>
      <w:tab/>
      <w:t xml:space="preserve">      </w:t>
    </w:r>
    <w:r>
      <w:tab/>
    </w:r>
    <w:r>
      <w:tab/>
    </w:r>
    <w:r>
      <w:tab/>
    </w:r>
    <w:r>
      <w:tab/>
    </w:r>
    <w:r>
      <w:tab/>
      <w:t xml:space="preserve">     </w:t>
    </w:r>
    <w:r>
      <w:tab/>
    </w:r>
    <w:r>
      <w:tab/>
    </w:r>
    <w:r>
      <w:tab/>
    </w:r>
    <w:r>
      <w:tab/>
    </w:r>
    <w:r>
      <w:tab/>
      <w:t xml:space="preserve">       </w:t>
    </w:r>
    <w:r>
      <w:fldChar w:fldCharType="begin"/>
    </w:r>
    <w:r>
      <w:instrText xml:space="preserve"> PAGE </w:instrText>
    </w:r>
    <w:r>
      <w:fldChar w:fldCharType="separate"/>
    </w:r>
    <w:r w:rsidR="00FE3B0E">
      <w:rPr>
        <w:noProof/>
      </w:rPr>
      <w:t>50</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2506C" w14:textId="77E9906B" w:rsidR="00A96EC9" w:rsidRDefault="00A96EC9" w:rsidP="002904FA">
    <w:pPr>
      <w:pStyle w:val="Header"/>
      <w:tabs>
        <w:tab w:val="clear" w:pos="4320"/>
        <w:tab w:val="clear" w:pos="8640"/>
      </w:tabs>
      <w:ind w:right="15"/>
    </w:pPr>
    <w:r>
      <w:t>PERCEIVED GENDER DISCRIMINATION</w:t>
    </w:r>
    <w:r>
      <w:tab/>
      <w:t xml:space="preserve">     </w:t>
    </w:r>
    <w:r>
      <w:tab/>
    </w:r>
    <w:r>
      <w:tab/>
    </w:r>
    <w:r>
      <w:tab/>
    </w:r>
    <w:r>
      <w:tab/>
    </w:r>
    <w:r>
      <w:tab/>
      <w:t xml:space="preserve">       </w:t>
    </w:r>
    <w:r>
      <w:fldChar w:fldCharType="begin"/>
    </w:r>
    <w:r>
      <w:instrText xml:space="preserve"> PAGE </w:instrText>
    </w:r>
    <w:r>
      <w:fldChar w:fldCharType="separate"/>
    </w:r>
    <w:r w:rsidR="00FE3B0E">
      <w:rPr>
        <w:noProof/>
      </w:rPr>
      <w:t>52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pStyle w:val="Heading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upperLetter"/>
      <w:lvlText w:val="%1)"/>
      <w:lvlJc w:val="left"/>
      <w:pPr>
        <w:tabs>
          <w:tab w:val="num" w:pos="0"/>
        </w:tabs>
        <w:ind w:left="720" w:hanging="360"/>
      </w:pPr>
    </w:lvl>
  </w:abstractNum>
  <w:abstractNum w:abstractNumId="2" w15:restartNumberingAfterBreak="0">
    <w:nsid w:val="094B3300"/>
    <w:multiLevelType w:val="hybridMultilevel"/>
    <w:tmpl w:val="3258C6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685A0A"/>
    <w:multiLevelType w:val="hybridMultilevel"/>
    <w:tmpl w:val="2938A7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5265FC"/>
    <w:multiLevelType w:val="hybridMultilevel"/>
    <w:tmpl w:val="199E02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2CA4B74"/>
    <w:multiLevelType w:val="multilevel"/>
    <w:tmpl w:val="D3529C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E6726D"/>
    <w:multiLevelType w:val="hybridMultilevel"/>
    <w:tmpl w:val="A89616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787487"/>
    <w:multiLevelType w:val="hybridMultilevel"/>
    <w:tmpl w:val="34DAED54"/>
    <w:lvl w:ilvl="0" w:tplc="83BC59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1EC246E"/>
    <w:multiLevelType w:val="hybridMultilevel"/>
    <w:tmpl w:val="8A6E1DCC"/>
    <w:lvl w:ilvl="0" w:tplc="C07E2D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43B35FA"/>
    <w:multiLevelType w:val="hybridMultilevel"/>
    <w:tmpl w:val="02829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3E257B"/>
    <w:multiLevelType w:val="hybridMultilevel"/>
    <w:tmpl w:val="397A8754"/>
    <w:lvl w:ilvl="0" w:tplc="1F6E164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8365478"/>
    <w:multiLevelType w:val="hybridMultilevel"/>
    <w:tmpl w:val="321CC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BD41BE"/>
    <w:multiLevelType w:val="multilevel"/>
    <w:tmpl w:val="8B606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137BDF"/>
    <w:multiLevelType w:val="hybridMultilevel"/>
    <w:tmpl w:val="A15A8878"/>
    <w:lvl w:ilvl="0" w:tplc="D5F80F92">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67044E68"/>
    <w:multiLevelType w:val="hybridMultilevel"/>
    <w:tmpl w:val="E144A2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14"/>
  </w:num>
  <w:num w:numId="5">
    <w:abstractNumId w:val="6"/>
  </w:num>
  <w:num w:numId="6">
    <w:abstractNumId w:val="11"/>
  </w:num>
  <w:num w:numId="7">
    <w:abstractNumId w:val="9"/>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8"/>
  </w:num>
  <w:num w:numId="11">
    <w:abstractNumId w:val="7"/>
  </w:num>
  <w:num w:numId="12">
    <w:abstractNumId w:val="10"/>
  </w:num>
  <w:num w:numId="13">
    <w:abstractNumId w:val="12"/>
  </w:num>
  <w:num w:numId="14">
    <w:abstractNumId w:val="1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 w:vendorID="64" w:dllVersion="6" w:nlCheck="1" w:checkStyle="0"/>
  <w:activeWritingStyle w:appName="MSWord" w:lang="en-US" w:vendorID="64" w:dllVersion="6" w:nlCheck="1" w:checkStyle="1"/>
  <w:activeWritingStyle w:appName="MSWord" w:lang="es-MX" w:vendorID="64" w:dllVersion="6" w:nlCheck="1" w:checkStyle="0"/>
  <w:activeWritingStyle w:appName="MSWord" w:lang="en-US" w:vendorID="64" w:dllVersion="0" w:nlCheck="1" w:checkStyle="0"/>
  <w:activeWritingStyle w:appName="MSWord" w:lang="es-ES" w:vendorID="64" w:dllVersion="0" w:nlCheck="1" w:checkStyle="0"/>
  <w:proofState w:spelling="clean" w:grammar="clean"/>
  <w:defaultTabStop w:val="720"/>
  <w:characterSpacingControl w:val="doNotCompress"/>
  <w:footnotePr>
    <w:footnote w:id="-1"/>
    <w:footnote w:id="0"/>
    <w:footnote w:id="1"/>
  </w:footnotePr>
  <w:endnotePr>
    <w:pos w:val="sectEnd"/>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86B"/>
    <w:rsid w:val="000016E6"/>
    <w:rsid w:val="00002190"/>
    <w:rsid w:val="000024D8"/>
    <w:rsid w:val="000038C8"/>
    <w:rsid w:val="00003A82"/>
    <w:rsid w:val="00003A85"/>
    <w:rsid w:val="00003D7B"/>
    <w:rsid w:val="00004087"/>
    <w:rsid w:val="000047D4"/>
    <w:rsid w:val="00005226"/>
    <w:rsid w:val="00005D2A"/>
    <w:rsid w:val="00006492"/>
    <w:rsid w:val="00006D67"/>
    <w:rsid w:val="00006EC8"/>
    <w:rsid w:val="000072BD"/>
    <w:rsid w:val="00007318"/>
    <w:rsid w:val="000077CA"/>
    <w:rsid w:val="00007BAF"/>
    <w:rsid w:val="000107AD"/>
    <w:rsid w:val="00011877"/>
    <w:rsid w:val="00012822"/>
    <w:rsid w:val="00012FA5"/>
    <w:rsid w:val="00013397"/>
    <w:rsid w:val="0001404F"/>
    <w:rsid w:val="00014BAC"/>
    <w:rsid w:val="00014CB9"/>
    <w:rsid w:val="00015BF5"/>
    <w:rsid w:val="0001674B"/>
    <w:rsid w:val="0001678E"/>
    <w:rsid w:val="00016F87"/>
    <w:rsid w:val="00017937"/>
    <w:rsid w:val="00017A80"/>
    <w:rsid w:val="00017CB7"/>
    <w:rsid w:val="00020110"/>
    <w:rsid w:val="0002065B"/>
    <w:rsid w:val="00020BDB"/>
    <w:rsid w:val="00021124"/>
    <w:rsid w:val="00021179"/>
    <w:rsid w:val="000216D6"/>
    <w:rsid w:val="000225E1"/>
    <w:rsid w:val="00022652"/>
    <w:rsid w:val="00022A35"/>
    <w:rsid w:val="00022F30"/>
    <w:rsid w:val="000233F0"/>
    <w:rsid w:val="000233FE"/>
    <w:rsid w:val="00023ABE"/>
    <w:rsid w:val="0002440D"/>
    <w:rsid w:val="0002442A"/>
    <w:rsid w:val="0002485C"/>
    <w:rsid w:val="00024C82"/>
    <w:rsid w:val="00025432"/>
    <w:rsid w:val="00026AD1"/>
    <w:rsid w:val="00026E3B"/>
    <w:rsid w:val="00030356"/>
    <w:rsid w:val="00030C02"/>
    <w:rsid w:val="0003188E"/>
    <w:rsid w:val="00032C14"/>
    <w:rsid w:val="00033778"/>
    <w:rsid w:val="00033D96"/>
    <w:rsid w:val="000340B7"/>
    <w:rsid w:val="000340CB"/>
    <w:rsid w:val="000342CA"/>
    <w:rsid w:val="000343CA"/>
    <w:rsid w:val="00035086"/>
    <w:rsid w:val="00036195"/>
    <w:rsid w:val="00036654"/>
    <w:rsid w:val="00036855"/>
    <w:rsid w:val="0003691F"/>
    <w:rsid w:val="00036F56"/>
    <w:rsid w:val="00041EB3"/>
    <w:rsid w:val="0004262B"/>
    <w:rsid w:val="00042955"/>
    <w:rsid w:val="00042CA8"/>
    <w:rsid w:val="00042E80"/>
    <w:rsid w:val="00043170"/>
    <w:rsid w:val="0004351F"/>
    <w:rsid w:val="000437B6"/>
    <w:rsid w:val="00043DDD"/>
    <w:rsid w:val="00044790"/>
    <w:rsid w:val="00044C0F"/>
    <w:rsid w:val="000452DA"/>
    <w:rsid w:val="00045371"/>
    <w:rsid w:val="00045613"/>
    <w:rsid w:val="00046709"/>
    <w:rsid w:val="00046BD3"/>
    <w:rsid w:val="00047C37"/>
    <w:rsid w:val="00047FB5"/>
    <w:rsid w:val="000500A1"/>
    <w:rsid w:val="00050139"/>
    <w:rsid w:val="00050B1A"/>
    <w:rsid w:val="00050DD7"/>
    <w:rsid w:val="00051400"/>
    <w:rsid w:val="00051450"/>
    <w:rsid w:val="00051579"/>
    <w:rsid w:val="00051FE6"/>
    <w:rsid w:val="00052DAB"/>
    <w:rsid w:val="00053CE0"/>
    <w:rsid w:val="0005491D"/>
    <w:rsid w:val="00054990"/>
    <w:rsid w:val="00054B3B"/>
    <w:rsid w:val="00054BCE"/>
    <w:rsid w:val="000550F5"/>
    <w:rsid w:val="00056410"/>
    <w:rsid w:val="00057514"/>
    <w:rsid w:val="0006020D"/>
    <w:rsid w:val="0006082F"/>
    <w:rsid w:val="00060D05"/>
    <w:rsid w:val="00061136"/>
    <w:rsid w:val="000611BD"/>
    <w:rsid w:val="000627B9"/>
    <w:rsid w:val="00062C6D"/>
    <w:rsid w:val="00062C77"/>
    <w:rsid w:val="00062C8A"/>
    <w:rsid w:val="00062E57"/>
    <w:rsid w:val="00063597"/>
    <w:rsid w:val="00063DA8"/>
    <w:rsid w:val="00064253"/>
    <w:rsid w:val="00064549"/>
    <w:rsid w:val="00064E06"/>
    <w:rsid w:val="00064E8A"/>
    <w:rsid w:val="00065837"/>
    <w:rsid w:val="0006594E"/>
    <w:rsid w:val="00065A52"/>
    <w:rsid w:val="0006647C"/>
    <w:rsid w:val="00066A0D"/>
    <w:rsid w:val="0006714E"/>
    <w:rsid w:val="00067667"/>
    <w:rsid w:val="0007081E"/>
    <w:rsid w:val="00070883"/>
    <w:rsid w:val="00070941"/>
    <w:rsid w:val="00072E56"/>
    <w:rsid w:val="00073A5C"/>
    <w:rsid w:val="00074736"/>
    <w:rsid w:val="00074B60"/>
    <w:rsid w:val="00075022"/>
    <w:rsid w:val="00075F78"/>
    <w:rsid w:val="000771B1"/>
    <w:rsid w:val="000778D8"/>
    <w:rsid w:val="00077998"/>
    <w:rsid w:val="0008040E"/>
    <w:rsid w:val="00080775"/>
    <w:rsid w:val="00080B21"/>
    <w:rsid w:val="000814C2"/>
    <w:rsid w:val="00081D77"/>
    <w:rsid w:val="00082036"/>
    <w:rsid w:val="000823D2"/>
    <w:rsid w:val="00082857"/>
    <w:rsid w:val="00083234"/>
    <w:rsid w:val="0008338B"/>
    <w:rsid w:val="000833E5"/>
    <w:rsid w:val="000834BC"/>
    <w:rsid w:val="000836B8"/>
    <w:rsid w:val="00083F5F"/>
    <w:rsid w:val="00084FB7"/>
    <w:rsid w:val="00085351"/>
    <w:rsid w:val="0008546E"/>
    <w:rsid w:val="000866B8"/>
    <w:rsid w:val="0008674F"/>
    <w:rsid w:val="0008686B"/>
    <w:rsid w:val="00087430"/>
    <w:rsid w:val="00087A81"/>
    <w:rsid w:val="0009086A"/>
    <w:rsid w:val="00090D77"/>
    <w:rsid w:val="000911C0"/>
    <w:rsid w:val="000916C2"/>
    <w:rsid w:val="00091829"/>
    <w:rsid w:val="00091B51"/>
    <w:rsid w:val="000921AC"/>
    <w:rsid w:val="00093524"/>
    <w:rsid w:val="0009367C"/>
    <w:rsid w:val="00093ABA"/>
    <w:rsid w:val="00093B62"/>
    <w:rsid w:val="00093C0F"/>
    <w:rsid w:val="000940C8"/>
    <w:rsid w:val="0009545A"/>
    <w:rsid w:val="00096391"/>
    <w:rsid w:val="000968E8"/>
    <w:rsid w:val="00096A7B"/>
    <w:rsid w:val="000973B8"/>
    <w:rsid w:val="000A0B30"/>
    <w:rsid w:val="000A13C1"/>
    <w:rsid w:val="000A1413"/>
    <w:rsid w:val="000A1A9D"/>
    <w:rsid w:val="000A4086"/>
    <w:rsid w:val="000A4B43"/>
    <w:rsid w:val="000A4DF6"/>
    <w:rsid w:val="000A5063"/>
    <w:rsid w:val="000A5A93"/>
    <w:rsid w:val="000A7279"/>
    <w:rsid w:val="000A77B9"/>
    <w:rsid w:val="000A7CA7"/>
    <w:rsid w:val="000A7DC6"/>
    <w:rsid w:val="000B0375"/>
    <w:rsid w:val="000B0771"/>
    <w:rsid w:val="000B089C"/>
    <w:rsid w:val="000B0D7C"/>
    <w:rsid w:val="000B0F89"/>
    <w:rsid w:val="000B1378"/>
    <w:rsid w:val="000B1AE9"/>
    <w:rsid w:val="000B2892"/>
    <w:rsid w:val="000B373A"/>
    <w:rsid w:val="000B4172"/>
    <w:rsid w:val="000B4A4C"/>
    <w:rsid w:val="000B4A7F"/>
    <w:rsid w:val="000B4DB6"/>
    <w:rsid w:val="000B4E8E"/>
    <w:rsid w:val="000B5BD8"/>
    <w:rsid w:val="000B6706"/>
    <w:rsid w:val="000B69B7"/>
    <w:rsid w:val="000C01B4"/>
    <w:rsid w:val="000C02E4"/>
    <w:rsid w:val="000C1F05"/>
    <w:rsid w:val="000C2B55"/>
    <w:rsid w:val="000C3581"/>
    <w:rsid w:val="000C3722"/>
    <w:rsid w:val="000C3884"/>
    <w:rsid w:val="000C3A23"/>
    <w:rsid w:val="000C3DF4"/>
    <w:rsid w:val="000C46FA"/>
    <w:rsid w:val="000C56FF"/>
    <w:rsid w:val="000C5CE5"/>
    <w:rsid w:val="000C66A6"/>
    <w:rsid w:val="000C66EA"/>
    <w:rsid w:val="000C6C96"/>
    <w:rsid w:val="000C7FAC"/>
    <w:rsid w:val="000D098D"/>
    <w:rsid w:val="000D17F5"/>
    <w:rsid w:val="000D181E"/>
    <w:rsid w:val="000D184B"/>
    <w:rsid w:val="000D3DA3"/>
    <w:rsid w:val="000D4A0F"/>
    <w:rsid w:val="000D57AF"/>
    <w:rsid w:val="000D6FD0"/>
    <w:rsid w:val="000E0BFD"/>
    <w:rsid w:val="000E0C1E"/>
    <w:rsid w:val="000E1031"/>
    <w:rsid w:val="000E14F1"/>
    <w:rsid w:val="000E16B3"/>
    <w:rsid w:val="000E1E37"/>
    <w:rsid w:val="000E2691"/>
    <w:rsid w:val="000E2D36"/>
    <w:rsid w:val="000E313B"/>
    <w:rsid w:val="000E3D90"/>
    <w:rsid w:val="000E3F68"/>
    <w:rsid w:val="000E4D14"/>
    <w:rsid w:val="000E4E77"/>
    <w:rsid w:val="000E5207"/>
    <w:rsid w:val="000E5698"/>
    <w:rsid w:val="000E605C"/>
    <w:rsid w:val="000E6666"/>
    <w:rsid w:val="000E674E"/>
    <w:rsid w:val="000E6D7C"/>
    <w:rsid w:val="000E7610"/>
    <w:rsid w:val="000E7D23"/>
    <w:rsid w:val="000F11CB"/>
    <w:rsid w:val="000F192B"/>
    <w:rsid w:val="000F1A15"/>
    <w:rsid w:val="000F29CB"/>
    <w:rsid w:val="000F2A87"/>
    <w:rsid w:val="000F331A"/>
    <w:rsid w:val="000F38E4"/>
    <w:rsid w:val="000F47A5"/>
    <w:rsid w:val="000F4879"/>
    <w:rsid w:val="000F4CBA"/>
    <w:rsid w:val="000F5562"/>
    <w:rsid w:val="000F7B44"/>
    <w:rsid w:val="000F7F4F"/>
    <w:rsid w:val="001000DC"/>
    <w:rsid w:val="001005A3"/>
    <w:rsid w:val="001010A5"/>
    <w:rsid w:val="001013D2"/>
    <w:rsid w:val="00101632"/>
    <w:rsid w:val="0010177C"/>
    <w:rsid w:val="001021DA"/>
    <w:rsid w:val="0010303A"/>
    <w:rsid w:val="0010405C"/>
    <w:rsid w:val="0010574E"/>
    <w:rsid w:val="00105B46"/>
    <w:rsid w:val="00105D71"/>
    <w:rsid w:val="0010636F"/>
    <w:rsid w:val="00106A76"/>
    <w:rsid w:val="00106A99"/>
    <w:rsid w:val="0010723D"/>
    <w:rsid w:val="00107ED7"/>
    <w:rsid w:val="001105ED"/>
    <w:rsid w:val="00110A7D"/>
    <w:rsid w:val="00110B82"/>
    <w:rsid w:val="00110F45"/>
    <w:rsid w:val="0011123B"/>
    <w:rsid w:val="00111577"/>
    <w:rsid w:val="00112220"/>
    <w:rsid w:val="001132F8"/>
    <w:rsid w:val="001135AA"/>
    <w:rsid w:val="0011378F"/>
    <w:rsid w:val="001137EE"/>
    <w:rsid w:val="00113868"/>
    <w:rsid w:val="00113C2A"/>
    <w:rsid w:val="001144F0"/>
    <w:rsid w:val="00115231"/>
    <w:rsid w:val="001152FF"/>
    <w:rsid w:val="00115BA3"/>
    <w:rsid w:val="001171C1"/>
    <w:rsid w:val="001179E5"/>
    <w:rsid w:val="00120029"/>
    <w:rsid w:val="00120136"/>
    <w:rsid w:val="0012019D"/>
    <w:rsid w:val="00120583"/>
    <w:rsid w:val="0012061C"/>
    <w:rsid w:val="00120F6D"/>
    <w:rsid w:val="001221BE"/>
    <w:rsid w:val="00122F24"/>
    <w:rsid w:val="00122FDA"/>
    <w:rsid w:val="00123098"/>
    <w:rsid w:val="001237E4"/>
    <w:rsid w:val="00124288"/>
    <w:rsid w:val="00124351"/>
    <w:rsid w:val="0012541C"/>
    <w:rsid w:val="0012541E"/>
    <w:rsid w:val="0012638B"/>
    <w:rsid w:val="00126B02"/>
    <w:rsid w:val="0013023B"/>
    <w:rsid w:val="001306A6"/>
    <w:rsid w:val="00131A07"/>
    <w:rsid w:val="00131A3B"/>
    <w:rsid w:val="00131D9E"/>
    <w:rsid w:val="0013215D"/>
    <w:rsid w:val="001329FF"/>
    <w:rsid w:val="001330C4"/>
    <w:rsid w:val="00133BBE"/>
    <w:rsid w:val="00134358"/>
    <w:rsid w:val="00134783"/>
    <w:rsid w:val="00134ED4"/>
    <w:rsid w:val="001359EA"/>
    <w:rsid w:val="00135A2E"/>
    <w:rsid w:val="00135BBD"/>
    <w:rsid w:val="00135E9C"/>
    <w:rsid w:val="001362BA"/>
    <w:rsid w:val="00136A17"/>
    <w:rsid w:val="00136BD5"/>
    <w:rsid w:val="00140077"/>
    <w:rsid w:val="00145D1C"/>
    <w:rsid w:val="00146176"/>
    <w:rsid w:val="00146216"/>
    <w:rsid w:val="001515D2"/>
    <w:rsid w:val="00151B9F"/>
    <w:rsid w:val="001535D5"/>
    <w:rsid w:val="00154C78"/>
    <w:rsid w:val="00155B8C"/>
    <w:rsid w:val="00155D83"/>
    <w:rsid w:val="00156255"/>
    <w:rsid w:val="00156B98"/>
    <w:rsid w:val="001573AD"/>
    <w:rsid w:val="001576F8"/>
    <w:rsid w:val="00157FF5"/>
    <w:rsid w:val="00161184"/>
    <w:rsid w:val="00161572"/>
    <w:rsid w:val="00161A94"/>
    <w:rsid w:val="001623CA"/>
    <w:rsid w:val="00162A5B"/>
    <w:rsid w:val="00162A79"/>
    <w:rsid w:val="00162D48"/>
    <w:rsid w:val="00162EE0"/>
    <w:rsid w:val="001636AA"/>
    <w:rsid w:val="001642C6"/>
    <w:rsid w:val="00164EE0"/>
    <w:rsid w:val="00164F89"/>
    <w:rsid w:val="00165590"/>
    <w:rsid w:val="00165635"/>
    <w:rsid w:val="00166AE7"/>
    <w:rsid w:val="00166EEF"/>
    <w:rsid w:val="00166FF7"/>
    <w:rsid w:val="00167365"/>
    <w:rsid w:val="00167688"/>
    <w:rsid w:val="00167FD5"/>
    <w:rsid w:val="001703E7"/>
    <w:rsid w:val="00170E8A"/>
    <w:rsid w:val="00170EE3"/>
    <w:rsid w:val="00170F09"/>
    <w:rsid w:val="001716D8"/>
    <w:rsid w:val="00171E34"/>
    <w:rsid w:val="00173710"/>
    <w:rsid w:val="001738B8"/>
    <w:rsid w:val="001758A2"/>
    <w:rsid w:val="00175AC6"/>
    <w:rsid w:val="00176355"/>
    <w:rsid w:val="00176F0D"/>
    <w:rsid w:val="0017768E"/>
    <w:rsid w:val="001779BB"/>
    <w:rsid w:val="00177CF8"/>
    <w:rsid w:val="0018118D"/>
    <w:rsid w:val="00181299"/>
    <w:rsid w:val="00181682"/>
    <w:rsid w:val="00181C68"/>
    <w:rsid w:val="00181C6B"/>
    <w:rsid w:val="00181E77"/>
    <w:rsid w:val="00182D59"/>
    <w:rsid w:val="00185184"/>
    <w:rsid w:val="00185924"/>
    <w:rsid w:val="001866F1"/>
    <w:rsid w:val="00186A74"/>
    <w:rsid w:val="00186F6B"/>
    <w:rsid w:val="001870CA"/>
    <w:rsid w:val="00187447"/>
    <w:rsid w:val="001876C9"/>
    <w:rsid w:val="00187B7B"/>
    <w:rsid w:val="00187BA4"/>
    <w:rsid w:val="00187BD0"/>
    <w:rsid w:val="00187C02"/>
    <w:rsid w:val="001903FF"/>
    <w:rsid w:val="00190991"/>
    <w:rsid w:val="00190F7F"/>
    <w:rsid w:val="0019281D"/>
    <w:rsid w:val="00193A34"/>
    <w:rsid w:val="00193DAB"/>
    <w:rsid w:val="00193E97"/>
    <w:rsid w:val="00194059"/>
    <w:rsid w:val="0019405F"/>
    <w:rsid w:val="001941CC"/>
    <w:rsid w:val="00194A1A"/>
    <w:rsid w:val="00195607"/>
    <w:rsid w:val="00195A12"/>
    <w:rsid w:val="00197A31"/>
    <w:rsid w:val="00197A90"/>
    <w:rsid w:val="00197F3B"/>
    <w:rsid w:val="001A179C"/>
    <w:rsid w:val="001A17BD"/>
    <w:rsid w:val="001A1D77"/>
    <w:rsid w:val="001A243C"/>
    <w:rsid w:val="001A32FA"/>
    <w:rsid w:val="001A3845"/>
    <w:rsid w:val="001A3B00"/>
    <w:rsid w:val="001A3EBE"/>
    <w:rsid w:val="001A3ED4"/>
    <w:rsid w:val="001A3F1F"/>
    <w:rsid w:val="001A4BFC"/>
    <w:rsid w:val="001A501C"/>
    <w:rsid w:val="001A5D41"/>
    <w:rsid w:val="001A5DA4"/>
    <w:rsid w:val="001A6719"/>
    <w:rsid w:val="001A75F9"/>
    <w:rsid w:val="001B06DB"/>
    <w:rsid w:val="001B0D35"/>
    <w:rsid w:val="001B112F"/>
    <w:rsid w:val="001B1138"/>
    <w:rsid w:val="001B1302"/>
    <w:rsid w:val="001B2235"/>
    <w:rsid w:val="001B28D9"/>
    <w:rsid w:val="001B425E"/>
    <w:rsid w:val="001B4595"/>
    <w:rsid w:val="001B515D"/>
    <w:rsid w:val="001B7D88"/>
    <w:rsid w:val="001C096A"/>
    <w:rsid w:val="001C12A6"/>
    <w:rsid w:val="001C170A"/>
    <w:rsid w:val="001C2554"/>
    <w:rsid w:val="001C265E"/>
    <w:rsid w:val="001C285A"/>
    <w:rsid w:val="001C3FEB"/>
    <w:rsid w:val="001C3FF3"/>
    <w:rsid w:val="001C445F"/>
    <w:rsid w:val="001C44EB"/>
    <w:rsid w:val="001C49D7"/>
    <w:rsid w:val="001C5277"/>
    <w:rsid w:val="001C5877"/>
    <w:rsid w:val="001C58B4"/>
    <w:rsid w:val="001C5B41"/>
    <w:rsid w:val="001C5C16"/>
    <w:rsid w:val="001C65E4"/>
    <w:rsid w:val="001C684A"/>
    <w:rsid w:val="001C7B26"/>
    <w:rsid w:val="001D0154"/>
    <w:rsid w:val="001D057C"/>
    <w:rsid w:val="001D0AB6"/>
    <w:rsid w:val="001D0E44"/>
    <w:rsid w:val="001D0F30"/>
    <w:rsid w:val="001D12E0"/>
    <w:rsid w:val="001D153F"/>
    <w:rsid w:val="001D1608"/>
    <w:rsid w:val="001D173F"/>
    <w:rsid w:val="001D2083"/>
    <w:rsid w:val="001D28D7"/>
    <w:rsid w:val="001D2BA8"/>
    <w:rsid w:val="001D2BDA"/>
    <w:rsid w:val="001D314E"/>
    <w:rsid w:val="001D3972"/>
    <w:rsid w:val="001D39FA"/>
    <w:rsid w:val="001D4426"/>
    <w:rsid w:val="001D4999"/>
    <w:rsid w:val="001D4FA9"/>
    <w:rsid w:val="001D518F"/>
    <w:rsid w:val="001D5257"/>
    <w:rsid w:val="001D5E99"/>
    <w:rsid w:val="001D682B"/>
    <w:rsid w:val="001D6C1E"/>
    <w:rsid w:val="001E02D3"/>
    <w:rsid w:val="001E07DA"/>
    <w:rsid w:val="001E0C54"/>
    <w:rsid w:val="001E1006"/>
    <w:rsid w:val="001E19E5"/>
    <w:rsid w:val="001E2339"/>
    <w:rsid w:val="001E2A54"/>
    <w:rsid w:val="001E2FE2"/>
    <w:rsid w:val="001E3CA2"/>
    <w:rsid w:val="001E4A83"/>
    <w:rsid w:val="001E52B1"/>
    <w:rsid w:val="001E72DE"/>
    <w:rsid w:val="001E7FF5"/>
    <w:rsid w:val="001F134C"/>
    <w:rsid w:val="001F13F0"/>
    <w:rsid w:val="001F1A0B"/>
    <w:rsid w:val="001F1CB2"/>
    <w:rsid w:val="001F21DB"/>
    <w:rsid w:val="001F23BD"/>
    <w:rsid w:val="001F247C"/>
    <w:rsid w:val="001F2D6C"/>
    <w:rsid w:val="001F3D86"/>
    <w:rsid w:val="001F426E"/>
    <w:rsid w:val="001F68B8"/>
    <w:rsid w:val="002022BB"/>
    <w:rsid w:val="0020291B"/>
    <w:rsid w:val="002034BF"/>
    <w:rsid w:val="00203B3A"/>
    <w:rsid w:val="00205CEC"/>
    <w:rsid w:val="00206498"/>
    <w:rsid w:val="002064DC"/>
    <w:rsid w:val="002065F7"/>
    <w:rsid w:val="00206935"/>
    <w:rsid w:val="0020694F"/>
    <w:rsid w:val="002074EC"/>
    <w:rsid w:val="00210B14"/>
    <w:rsid w:val="00210DA2"/>
    <w:rsid w:val="00212E0C"/>
    <w:rsid w:val="00213239"/>
    <w:rsid w:val="002133DB"/>
    <w:rsid w:val="00213D90"/>
    <w:rsid w:val="00213DE2"/>
    <w:rsid w:val="0021403F"/>
    <w:rsid w:val="00214070"/>
    <w:rsid w:val="00214287"/>
    <w:rsid w:val="00214418"/>
    <w:rsid w:val="00216E72"/>
    <w:rsid w:val="00217C0A"/>
    <w:rsid w:val="002211CC"/>
    <w:rsid w:val="00221994"/>
    <w:rsid w:val="00221B12"/>
    <w:rsid w:val="00221FD2"/>
    <w:rsid w:val="00222413"/>
    <w:rsid w:val="0022245E"/>
    <w:rsid w:val="00222CFE"/>
    <w:rsid w:val="00222F3B"/>
    <w:rsid w:val="0022319C"/>
    <w:rsid w:val="002236D9"/>
    <w:rsid w:val="00223974"/>
    <w:rsid w:val="00223B28"/>
    <w:rsid w:val="00223D07"/>
    <w:rsid w:val="002250C6"/>
    <w:rsid w:val="0022551D"/>
    <w:rsid w:val="0022590C"/>
    <w:rsid w:val="002263DF"/>
    <w:rsid w:val="00226582"/>
    <w:rsid w:val="00226AB0"/>
    <w:rsid w:val="002273BF"/>
    <w:rsid w:val="00227423"/>
    <w:rsid w:val="002279A3"/>
    <w:rsid w:val="00227BF7"/>
    <w:rsid w:val="00227FAB"/>
    <w:rsid w:val="0023075B"/>
    <w:rsid w:val="00230FE5"/>
    <w:rsid w:val="002316BD"/>
    <w:rsid w:val="00231FF6"/>
    <w:rsid w:val="00232209"/>
    <w:rsid w:val="0023284F"/>
    <w:rsid w:val="00232CDC"/>
    <w:rsid w:val="00232F0D"/>
    <w:rsid w:val="00232F1F"/>
    <w:rsid w:val="00232F95"/>
    <w:rsid w:val="00234397"/>
    <w:rsid w:val="00234EA0"/>
    <w:rsid w:val="00235033"/>
    <w:rsid w:val="0023568F"/>
    <w:rsid w:val="00235FBA"/>
    <w:rsid w:val="0024002F"/>
    <w:rsid w:val="00240061"/>
    <w:rsid w:val="00240BF3"/>
    <w:rsid w:val="002413F0"/>
    <w:rsid w:val="00241672"/>
    <w:rsid w:val="002416A1"/>
    <w:rsid w:val="0024408C"/>
    <w:rsid w:val="0024472A"/>
    <w:rsid w:val="00244EE7"/>
    <w:rsid w:val="00246450"/>
    <w:rsid w:val="00246B0E"/>
    <w:rsid w:val="00247737"/>
    <w:rsid w:val="00247967"/>
    <w:rsid w:val="00247C1A"/>
    <w:rsid w:val="00247DB5"/>
    <w:rsid w:val="0025010F"/>
    <w:rsid w:val="00250B93"/>
    <w:rsid w:val="00251D34"/>
    <w:rsid w:val="00251E02"/>
    <w:rsid w:val="00252375"/>
    <w:rsid w:val="0025358B"/>
    <w:rsid w:val="00253F1C"/>
    <w:rsid w:val="00254C17"/>
    <w:rsid w:val="00254FED"/>
    <w:rsid w:val="00255143"/>
    <w:rsid w:val="002557D8"/>
    <w:rsid w:val="002559DE"/>
    <w:rsid w:val="00255B03"/>
    <w:rsid w:val="00255E79"/>
    <w:rsid w:val="00256D7C"/>
    <w:rsid w:val="00257930"/>
    <w:rsid w:val="00257BF8"/>
    <w:rsid w:val="0026043A"/>
    <w:rsid w:val="00260532"/>
    <w:rsid w:val="00260A3C"/>
    <w:rsid w:val="00260F5A"/>
    <w:rsid w:val="00261236"/>
    <w:rsid w:val="00261F64"/>
    <w:rsid w:val="00263604"/>
    <w:rsid w:val="002644DA"/>
    <w:rsid w:val="0026544D"/>
    <w:rsid w:val="00266503"/>
    <w:rsid w:val="00266A3E"/>
    <w:rsid w:val="00266C74"/>
    <w:rsid w:val="00267704"/>
    <w:rsid w:val="00267935"/>
    <w:rsid w:val="00267D61"/>
    <w:rsid w:val="0027026A"/>
    <w:rsid w:val="00270FDE"/>
    <w:rsid w:val="002714A2"/>
    <w:rsid w:val="00271C7E"/>
    <w:rsid w:val="00271E80"/>
    <w:rsid w:val="00272357"/>
    <w:rsid w:val="002724ED"/>
    <w:rsid w:val="00272662"/>
    <w:rsid w:val="00274017"/>
    <w:rsid w:val="00275486"/>
    <w:rsid w:val="002765AF"/>
    <w:rsid w:val="002766A9"/>
    <w:rsid w:val="00276871"/>
    <w:rsid w:val="00276D00"/>
    <w:rsid w:val="0027720C"/>
    <w:rsid w:val="00280B33"/>
    <w:rsid w:val="00281682"/>
    <w:rsid w:val="00281BFC"/>
    <w:rsid w:val="00281EBF"/>
    <w:rsid w:val="00282172"/>
    <w:rsid w:val="002827BF"/>
    <w:rsid w:val="002838CB"/>
    <w:rsid w:val="00284B06"/>
    <w:rsid w:val="00284BB9"/>
    <w:rsid w:val="00284FBB"/>
    <w:rsid w:val="00285A26"/>
    <w:rsid w:val="002871AC"/>
    <w:rsid w:val="00287374"/>
    <w:rsid w:val="00287C2F"/>
    <w:rsid w:val="0029000B"/>
    <w:rsid w:val="00290188"/>
    <w:rsid w:val="002902F6"/>
    <w:rsid w:val="002904B8"/>
    <w:rsid w:val="002904FA"/>
    <w:rsid w:val="00292609"/>
    <w:rsid w:val="002927DE"/>
    <w:rsid w:val="00292B80"/>
    <w:rsid w:val="002939DF"/>
    <w:rsid w:val="002940F9"/>
    <w:rsid w:val="002944F7"/>
    <w:rsid w:val="00294D2A"/>
    <w:rsid w:val="00295130"/>
    <w:rsid w:val="00295617"/>
    <w:rsid w:val="002963A9"/>
    <w:rsid w:val="00296A50"/>
    <w:rsid w:val="00297779"/>
    <w:rsid w:val="00297967"/>
    <w:rsid w:val="002A030F"/>
    <w:rsid w:val="002A03B2"/>
    <w:rsid w:val="002A0910"/>
    <w:rsid w:val="002A1D0D"/>
    <w:rsid w:val="002A2130"/>
    <w:rsid w:val="002A2311"/>
    <w:rsid w:val="002A30C8"/>
    <w:rsid w:val="002A37C3"/>
    <w:rsid w:val="002A3A25"/>
    <w:rsid w:val="002A3A97"/>
    <w:rsid w:val="002A3CD3"/>
    <w:rsid w:val="002A4E15"/>
    <w:rsid w:val="002A54AD"/>
    <w:rsid w:val="002A58EC"/>
    <w:rsid w:val="002A6C33"/>
    <w:rsid w:val="002A6C3A"/>
    <w:rsid w:val="002A6CDF"/>
    <w:rsid w:val="002A6F5B"/>
    <w:rsid w:val="002B008F"/>
    <w:rsid w:val="002B0660"/>
    <w:rsid w:val="002B21F6"/>
    <w:rsid w:val="002B244E"/>
    <w:rsid w:val="002B2AC0"/>
    <w:rsid w:val="002B2B40"/>
    <w:rsid w:val="002B3479"/>
    <w:rsid w:val="002B3E09"/>
    <w:rsid w:val="002B3F5B"/>
    <w:rsid w:val="002B4852"/>
    <w:rsid w:val="002B4C08"/>
    <w:rsid w:val="002B4EEF"/>
    <w:rsid w:val="002B4EF8"/>
    <w:rsid w:val="002B74DD"/>
    <w:rsid w:val="002C004E"/>
    <w:rsid w:val="002C04F3"/>
    <w:rsid w:val="002C13C3"/>
    <w:rsid w:val="002C1638"/>
    <w:rsid w:val="002C19EF"/>
    <w:rsid w:val="002C1B03"/>
    <w:rsid w:val="002C1F49"/>
    <w:rsid w:val="002C2CBF"/>
    <w:rsid w:val="002C386A"/>
    <w:rsid w:val="002C4144"/>
    <w:rsid w:val="002C4D8A"/>
    <w:rsid w:val="002C51A5"/>
    <w:rsid w:val="002C5882"/>
    <w:rsid w:val="002C68FC"/>
    <w:rsid w:val="002C71BD"/>
    <w:rsid w:val="002D0114"/>
    <w:rsid w:val="002D0B02"/>
    <w:rsid w:val="002D190F"/>
    <w:rsid w:val="002D1919"/>
    <w:rsid w:val="002D25F4"/>
    <w:rsid w:val="002D2C55"/>
    <w:rsid w:val="002D35B3"/>
    <w:rsid w:val="002D3819"/>
    <w:rsid w:val="002D3A4D"/>
    <w:rsid w:val="002D3E57"/>
    <w:rsid w:val="002D449D"/>
    <w:rsid w:val="002D44AD"/>
    <w:rsid w:val="002D46F2"/>
    <w:rsid w:val="002D481B"/>
    <w:rsid w:val="002D598A"/>
    <w:rsid w:val="002D5BCE"/>
    <w:rsid w:val="002D5D99"/>
    <w:rsid w:val="002D69DB"/>
    <w:rsid w:val="002D6D57"/>
    <w:rsid w:val="002D7BD1"/>
    <w:rsid w:val="002E0AA5"/>
    <w:rsid w:val="002E1CB3"/>
    <w:rsid w:val="002E3007"/>
    <w:rsid w:val="002E3351"/>
    <w:rsid w:val="002E36AF"/>
    <w:rsid w:val="002E37F6"/>
    <w:rsid w:val="002E492A"/>
    <w:rsid w:val="002E5711"/>
    <w:rsid w:val="002E63BC"/>
    <w:rsid w:val="002E6DA8"/>
    <w:rsid w:val="002F0F21"/>
    <w:rsid w:val="002F10E3"/>
    <w:rsid w:val="002F1BCC"/>
    <w:rsid w:val="002F2548"/>
    <w:rsid w:val="002F2DD4"/>
    <w:rsid w:val="002F304D"/>
    <w:rsid w:val="002F3082"/>
    <w:rsid w:val="002F3D84"/>
    <w:rsid w:val="002F3DC9"/>
    <w:rsid w:val="002F48B2"/>
    <w:rsid w:val="002F4D00"/>
    <w:rsid w:val="002F601A"/>
    <w:rsid w:val="002F754F"/>
    <w:rsid w:val="00300585"/>
    <w:rsid w:val="0030129F"/>
    <w:rsid w:val="003013E8"/>
    <w:rsid w:val="00302340"/>
    <w:rsid w:val="003026DE"/>
    <w:rsid w:val="00302B16"/>
    <w:rsid w:val="00302EC1"/>
    <w:rsid w:val="00303725"/>
    <w:rsid w:val="00303F41"/>
    <w:rsid w:val="0030407F"/>
    <w:rsid w:val="003046B3"/>
    <w:rsid w:val="00304773"/>
    <w:rsid w:val="0030481E"/>
    <w:rsid w:val="00304A6D"/>
    <w:rsid w:val="00304BDC"/>
    <w:rsid w:val="003052DC"/>
    <w:rsid w:val="00305D9D"/>
    <w:rsid w:val="003063ED"/>
    <w:rsid w:val="00306462"/>
    <w:rsid w:val="00306B6A"/>
    <w:rsid w:val="00306E1A"/>
    <w:rsid w:val="00306E22"/>
    <w:rsid w:val="00307200"/>
    <w:rsid w:val="0031021F"/>
    <w:rsid w:val="0031034D"/>
    <w:rsid w:val="003104A6"/>
    <w:rsid w:val="003105D3"/>
    <w:rsid w:val="003109E0"/>
    <w:rsid w:val="00310BF0"/>
    <w:rsid w:val="00310BFB"/>
    <w:rsid w:val="003110AD"/>
    <w:rsid w:val="003121FA"/>
    <w:rsid w:val="00312339"/>
    <w:rsid w:val="00312517"/>
    <w:rsid w:val="003146C9"/>
    <w:rsid w:val="00315144"/>
    <w:rsid w:val="003152AD"/>
    <w:rsid w:val="0031542B"/>
    <w:rsid w:val="003166C0"/>
    <w:rsid w:val="00316BBC"/>
    <w:rsid w:val="003177EC"/>
    <w:rsid w:val="0032097E"/>
    <w:rsid w:val="00320E04"/>
    <w:rsid w:val="00321212"/>
    <w:rsid w:val="0032147B"/>
    <w:rsid w:val="003214FF"/>
    <w:rsid w:val="00321F08"/>
    <w:rsid w:val="00322BD8"/>
    <w:rsid w:val="00323682"/>
    <w:rsid w:val="00323E84"/>
    <w:rsid w:val="003240C3"/>
    <w:rsid w:val="00324DE1"/>
    <w:rsid w:val="003261B0"/>
    <w:rsid w:val="003266DF"/>
    <w:rsid w:val="003278BE"/>
    <w:rsid w:val="00327ECA"/>
    <w:rsid w:val="0033001F"/>
    <w:rsid w:val="0033041A"/>
    <w:rsid w:val="00330A73"/>
    <w:rsid w:val="00330AA4"/>
    <w:rsid w:val="00330C2C"/>
    <w:rsid w:val="0033110E"/>
    <w:rsid w:val="003313CD"/>
    <w:rsid w:val="003318F1"/>
    <w:rsid w:val="00331CCC"/>
    <w:rsid w:val="00332C8A"/>
    <w:rsid w:val="00332CED"/>
    <w:rsid w:val="003337AF"/>
    <w:rsid w:val="00333848"/>
    <w:rsid w:val="00333937"/>
    <w:rsid w:val="00333C72"/>
    <w:rsid w:val="00334821"/>
    <w:rsid w:val="0033571F"/>
    <w:rsid w:val="00335774"/>
    <w:rsid w:val="00335AC8"/>
    <w:rsid w:val="00335B07"/>
    <w:rsid w:val="00335F6F"/>
    <w:rsid w:val="003365A2"/>
    <w:rsid w:val="003366B2"/>
    <w:rsid w:val="003377B4"/>
    <w:rsid w:val="00337D30"/>
    <w:rsid w:val="003403A8"/>
    <w:rsid w:val="00340E38"/>
    <w:rsid w:val="00341AC1"/>
    <w:rsid w:val="0034222E"/>
    <w:rsid w:val="0034275F"/>
    <w:rsid w:val="00343A1D"/>
    <w:rsid w:val="00343C60"/>
    <w:rsid w:val="00345210"/>
    <w:rsid w:val="00345874"/>
    <w:rsid w:val="003462C7"/>
    <w:rsid w:val="00346AE4"/>
    <w:rsid w:val="00347580"/>
    <w:rsid w:val="00347EAF"/>
    <w:rsid w:val="00350255"/>
    <w:rsid w:val="00350D3C"/>
    <w:rsid w:val="00350E7C"/>
    <w:rsid w:val="003511DC"/>
    <w:rsid w:val="00351219"/>
    <w:rsid w:val="00351272"/>
    <w:rsid w:val="00351E16"/>
    <w:rsid w:val="00352078"/>
    <w:rsid w:val="00353B89"/>
    <w:rsid w:val="00354C32"/>
    <w:rsid w:val="00355262"/>
    <w:rsid w:val="0035564C"/>
    <w:rsid w:val="00355C70"/>
    <w:rsid w:val="00356ABA"/>
    <w:rsid w:val="00356B68"/>
    <w:rsid w:val="00357B6A"/>
    <w:rsid w:val="00357E8C"/>
    <w:rsid w:val="00360978"/>
    <w:rsid w:val="00360D47"/>
    <w:rsid w:val="00360E45"/>
    <w:rsid w:val="00361225"/>
    <w:rsid w:val="0036217C"/>
    <w:rsid w:val="003639B5"/>
    <w:rsid w:val="00364A01"/>
    <w:rsid w:val="00364DA1"/>
    <w:rsid w:val="00364E7B"/>
    <w:rsid w:val="003654A1"/>
    <w:rsid w:val="00365598"/>
    <w:rsid w:val="00367849"/>
    <w:rsid w:val="00370111"/>
    <w:rsid w:val="00370222"/>
    <w:rsid w:val="0037086A"/>
    <w:rsid w:val="00370E58"/>
    <w:rsid w:val="003711DC"/>
    <w:rsid w:val="00371F07"/>
    <w:rsid w:val="00372AA7"/>
    <w:rsid w:val="00373528"/>
    <w:rsid w:val="0037363F"/>
    <w:rsid w:val="00373C8D"/>
    <w:rsid w:val="00373CF2"/>
    <w:rsid w:val="0037402A"/>
    <w:rsid w:val="0037402C"/>
    <w:rsid w:val="00374871"/>
    <w:rsid w:val="00375D09"/>
    <w:rsid w:val="003763DF"/>
    <w:rsid w:val="00376430"/>
    <w:rsid w:val="003766D4"/>
    <w:rsid w:val="003770F6"/>
    <w:rsid w:val="00377BDB"/>
    <w:rsid w:val="00381520"/>
    <w:rsid w:val="00381FED"/>
    <w:rsid w:val="00382666"/>
    <w:rsid w:val="00383BBB"/>
    <w:rsid w:val="00384903"/>
    <w:rsid w:val="00384C82"/>
    <w:rsid w:val="00384F17"/>
    <w:rsid w:val="0038554A"/>
    <w:rsid w:val="00386BB7"/>
    <w:rsid w:val="00387D35"/>
    <w:rsid w:val="0039094A"/>
    <w:rsid w:val="00390DA7"/>
    <w:rsid w:val="00391A50"/>
    <w:rsid w:val="00392804"/>
    <w:rsid w:val="00392E18"/>
    <w:rsid w:val="00392EDD"/>
    <w:rsid w:val="0039385F"/>
    <w:rsid w:val="0039392A"/>
    <w:rsid w:val="00394194"/>
    <w:rsid w:val="00394D83"/>
    <w:rsid w:val="00394F09"/>
    <w:rsid w:val="00394F3F"/>
    <w:rsid w:val="003950E1"/>
    <w:rsid w:val="00395504"/>
    <w:rsid w:val="00395563"/>
    <w:rsid w:val="0039596F"/>
    <w:rsid w:val="003959CE"/>
    <w:rsid w:val="00395AD4"/>
    <w:rsid w:val="0039676D"/>
    <w:rsid w:val="00396B3C"/>
    <w:rsid w:val="0039706F"/>
    <w:rsid w:val="00397212"/>
    <w:rsid w:val="003A0321"/>
    <w:rsid w:val="003A03FC"/>
    <w:rsid w:val="003A06B2"/>
    <w:rsid w:val="003A21C4"/>
    <w:rsid w:val="003A23C5"/>
    <w:rsid w:val="003A284C"/>
    <w:rsid w:val="003A2B07"/>
    <w:rsid w:val="003A36C0"/>
    <w:rsid w:val="003A3AE0"/>
    <w:rsid w:val="003A3DA8"/>
    <w:rsid w:val="003A43C9"/>
    <w:rsid w:val="003A4552"/>
    <w:rsid w:val="003A5218"/>
    <w:rsid w:val="003A5594"/>
    <w:rsid w:val="003A665D"/>
    <w:rsid w:val="003A684C"/>
    <w:rsid w:val="003A7088"/>
    <w:rsid w:val="003A72B4"/>
    <w:rsid w:val="003A7A62"/>
    <w:rsid w:val="003B07A6"/>
    <w:rsid w:val="003B0B51"/>
    <w:rsid w:val="003B0DE8"/>
    <w:rsid w:val="003B1CE4"/>
    <w:rsid w:val="003B2380"/>
    <w:rsid w:val="003B27E9"/>
    <w:rsid w:val="003B2FA6"/>
    <w:rsid w:val="003B3339"/>
    <w:rsid w:val="003B36C8"/>
    <w:rsid w:val="003B4310"/>
    <w:rsid w:val="003B494F"/>
    <w:rsid w:val="003B4C78"/>
    <w:rsid w:val="003B56F5"/>
    <w:rsid w:val="003B7A0E"/>
    <w:rsid w:val="003B7B4D"/>
    <w:rsid w:val="003B7CCA"/>
    <w:rsid w:val="003B7E51"/>
    <w:rsid w:val="003C0B1F"/>
    <w:rsid w:val="003C0B60"/>
    <w:rsid w:val="003C193C"/>
    <w:rsid w:val="003C1B1B"/>
    <w:rsid w:val="003C3544"/>
    <w:rsid w:val="003C3560"/>
    <w:rsid w:val="003C35C9"/>
    <w:rsid w:val="003C3E00"/>
    <w:rsid w:val="003C4BD2"/>
    <w:rsid w:val="003C5791"/>
    <w:rsid w:val="003C5836"/>
    <w:rsid w:val="003C5B58"/>
    <w:rsid w:val="003C5B5F"/>
    <w:rsid w:val="003C6566"/>
    <w:rsid w:val="003C75CA"/>
    <w:rsid w:val="003C77A4"/>
    <w:rsid w:val="003C7B79"/>
    <w:rsid w:val="003D09DD"/>
    <w:rsid w:val="003D0B27"/>
    <w:rsid w:val="003D2304"/>
    <w:rsid w:val="003D2338"/>
    <w:rsid w:val="003D2FBD"/>
    <w:rsid w:val="003D346D"/>
    <w:rsid w:val="003D38DB"/>
    <w:rsid w:val="003D4D6F"/>
    <w:rsid w:val="003D583C"/>
    <w:rsid w:val="003D6FAC"/>
    <w:rsid w:val="003D7386"/>
    <w:rsid w:val="003D7BBE"/>
    <w:rsid w:val="003D7E4B"/>
    <w:rsid w:val="003E16FF"/>
    <w:rsid w:val="003E2C0F"/>
    <w:rsid w:val="003E2C20"/>
    <w:rsid w:val="003E2D43"/>
    <w:rsid w:val="003E2E3A"/>
    <w:rsid w:val="003E39DF"/>
    <w:rsid w:val="003E3EE3"/>
    <w:rsid w:val="003E42E5"/>
    <w:rsid w:val="003E43D2"/>
    <w:rsid w:val="003E4749"/>
    <w:rsid w:val="003E4830"/>
    <w:rsid w:val="003E4C07"/>
    <w:rsid w:val="003E4E89"/>
    <w:rsid w:val="003E6F76"/>
    <w:rsid w:val="003E7A65"/>
    <w:rsid w:val="003E7D2D"/>
    <w:rsid w:val="003F0177"/>
    <w:rsid w:val="003F080B"/>
    <w:rsid w:val="003F1207"/>
    <w:rsid w:val="003F1796"/>
    <w:rsid w:val="003F1E24"/>
    <w:rsid w:val="003F2638"/>
    <w:rsid w:val="003F2836"/>
    <w:rsid w:val="003F2B16"/>
    <w:rsid w:val="003F320B"/>
    <w:rsid w:val="003F3CCF"/>
    <w:rsid w:val="003F499F"/>
    <w:rsid w:val="003F50B3"/>
    <w:rsid w:val="003F5214"/>
    <w:rsid w:val="003F5414"/>
    <w:rsid w:val="003F5EF3"/>
    <w:rsid w:val="003F6563"/>
    <w:rsid w:val="003F6F92"/>
    <w:rsid w:val="003F6FA1"/>
    <w:rsid w:val="003F6FB5"/>
    <w:rsid w:val="003F7CCC"/>
    <w:rsid w:val="004006BB"/>
    <w:rsid w:val="00401D52"/>
    <w:rsid w:val="00401F7D"/>
    <w:rsid w:val="004020AB"/>
    <w:rsid w:val="00402381"/>
    <w:rsid w:val="00402A13"/>
    <w:rsid w:val="00403C36"/>
    <w:rsid w:val="00403E27"/>
    <w:rsid w:val="00403F69"/>
    <w:rsid w:val="00403F84"/>
    <w:rsid w:val="00405ED5"/>
    <w:rsid w:val="00406668"/>
    <w:rsid w:val="00407613"/>
    <w:rsid w:val="004077B8"/>
    <w:rsid w:val="00407B7A"/>
    <w:rsid w:val="0041014C"/>
    <w:rsid w:val="00411247"/>
    <w:rsid w:val="00412631"/>
    <w:rsid w:val="0041289B"/>
    <w:rsid w:val="00415E90"/>
    <w:rsid w:val="0041615D"/>
    <w:rsid w:val="004163A9"/>
    <w:rsid w:val="00416631"/>
    <w:rsid w:val="004172EE"/>
    <w:rsid w:val="00417566"/>
    <w:rsid w:val="00420150"/>
    <w:rsid w:val="00420BE6"/>
    <w:rsid w:val="00420D30"/>
    <w:rsid w:val="00421727"/>
    <w:rsid w:val="0042178E"/>
    <w:rsid w:val="00421D68"/>
    <w:rsid w:val="00421F4F"/>
    <w:rsid w:val="00422056"/>
    <w:rsid w:val="0042290F"/>
    <w:rsid w:val="00422BCA"/>
    <w:rsid w:val="00423B56"/>
    <w:rsid w:val="00424BFC"/>
    <w:rsid w:val="004254D8"/>
    <w:rsid w:val="00426E74"/>
    <w:rsid w:val="00427D10"/>
    <w:rsid w:val="0043079B"/>
    <w:rsid w:val="00430949"/>
    <w:rsid w:val="004309BF"/>
    <w:rsid w:val="004309C6"/>
    <w:rsid w:val="00430BA5"/>
    <w:rsid w:val="00430CBA"/>
    <w:rsid w:val="00430E8E"/>
    <w:rsid w:val="00430E96"/>
    <w:rsid w:val="0043118D"/>
    <w:rsid w:val="00431AD3"/>
    <w:rsid w:val="00431C9F"/>
    <w:rsid w:val="00432AA7"/>
    <w:rsid w:val="0043327D"/>
    <w:rsid w:val="00433AF2"/>
    <w:rsid w:val="00434225"/>
    <w:rsid w:val="004342FA"/>
    <w:rsid w:val="00434991"/>
    <w:rsid w:val="004359BF"/>
    <w:rsid w:val="00435BD9"/>
    <w:rsid w:val="0043618A"/>
    <w:rsid w:val="00436781"/>
    <w:rsid w:val="00436FD6"/>
    <w:rsid w:val="00437DE5"/>
    <w:rsid w:val="004400F7"/>
    <w:rsid w:val="00440561"/>
    <w:rsid w:val="004410F3"/>
    <w:rsid w:val="00441ADA"/>
    <w:rsid w:val="00441EED"/>
    <w:rsid w:val="004420C1"/>
    <w:rsid w:val="0044226C"/>
    <w:rsid w:val="004423FD"/>
    <w:rsid w:val="00442BD7"/>
    <w:rsid w:val="00442BF5"/>
    <w:rsid w:val="00442EFE"/>
    <w:rsid w:val="004439E4"/>
    <w:rsid w:val="00443FA7"/>
    <w:rsid w:val="00446F4E"/>
    <w:rsid w:val="004472D5"/>
    <w:rsid w:val="004479D6"/>
    <w:rsid w:val="00447BE0"/>
    <w:rsid w:val="0045002D"/>
    <w:rsid w:val="0045091E"/>
    <w:rsid w:val="00450BD8"/>
    <w:rsid w:val="00450F1D"/>
    <w:rsid w:val="00451120"/>
    <w:rsid w:val="004511B2"/>
    <w:rsid w:val="004515A3"/>
    <w:rsid w:val="00452202"/>
    <w:rsid w:val="00452706"/>
    <w:rsid w:val="00452995"/>
    <w:rsid w:val="00452BEB"/>
    <w:rsid w:val="004535CE"/>
    <w:rsid w:val="00453FBB"/>
    <w:rsid w:val="004549F1"/>
    <w:rsid w:val="00455822"/>
    <w:rsid w:val="00456282"/>
    <w:rsid w:val="00456762"/>
    <w:rsid w:val="00456AA5"/>
    <w:rsid w:val="00456F16"/>
    <w:rsid w:val="00457001"/>
    <w:rsid w:val="004573E5"/>
    <w:rsid w:val="004600C8"/>
    <w:rsid w:val="00460352"/>
    <w:rsid w:val="00460E26"/>
    <w:rsid w:val="00461DA9"/>
    <w:rsid w:val="00462DAA"/>
    <w:rsid w:val="00463026"/>
    <w:rsid w:val="0046408F"/>
    <w:rsid w:val="0046421E"/>
    <w:rsid w:val="0046482A"/>
    <w:rsid w:val="00464CAA"/>
    <w:rsid w:val="004650B3"/>
    <w:rsid w:val="0046568B"/>
    <w:rsid w:val="0046614C"/>
    <w:rsid w:val="00466A6A"/>
    <w:rsid w:val="0046725A"/>
    <w:rsid w:val="00470094"/>
    <w:rsid w:val="00471C83"/>
    <w:rsid w:val="00471E8C"/>
    <w:rsid w:val="004725E1"/>
    <w:rsid w:val="00472706"/>
    <w:rsid w:val="00472F92"/>
    <w:rsid w:val="0047590D"/>
    <w:rsid w:val="00475F41"/>
    <w:rsid w:val="004764F4"/>
    <w:rsid w:val="00476C03"/>
    <w:rsid w:val="004770FA"/>
    <w:rsid w:val="00477257"/>
    <w:rsid w:val="004774B1"/>
    <w:rsid w:val="0047780C"/>
    <w:rsid w:val="00480039"/>
    <w:rsid w:val="0048018E"/>
    <w:rsid w:val="004803C9"/>
    <w:rsid w:val="0048083E"/>
    <w:rsid w:val="00480E52"/>
    <w:rsid w:val="004819CA"/>
    <w:rsid w:val="00481DF3"/>
    <w:rsid w:val="004823D4"/>
    <w:rsid w:val="00482446"/>
    <w:rsid w:val="00483622"/>
    <w:rsid w:val="004837E5"/>
    <w:rsid w:val="00483CA2"/>
    <w:rsid w:val="00483E70"/>
    <w:rsid w:val="00483EF1"/>
    <w:rsid w:val="00484340"/>
    <w:rsid w:val="00484604"/>
    <w:rsid w:val="00484D1D"/>
    <w:rsid w:val="00484DA2"/>
    <w:rsid w:val="00486222"/>
    <w:rsid w:val="00486EC9"/>
    <w:rsid w:val="00487094"/>
    <w:rsid w:val="00487830"/>
    <w:rsid w:val="00490001"/>
    <w:rsid w:val="004903E8"/>
    <w:rsid w:val="004906EE"/>
    <w:rsid w:val="004913C8"/>
    <w:rsid w:val="0049144F"/>
    <w:rsid w:val="00492216"/>
    <w:rsid w:val="004938BA"/>
    <w:rsid w:val="00493C0E"/>
    <w:rsid w:val="00493DEA"/>
    <w:rsid w:val="00495B79"/>
    <w:rsid w:val="00496193"/>
    <w:rsid w:val="00497245"/>
    <w:rsid w:val="004972F2"/>
    <w:rsid w:val="004975AB"/>
    <w:rsid w:val="00497802"/>
    <w:rsid w:val="004A03FC"/>
    <w:rsid w:val="004A0450"/>
    <w:rsid w:val="004A062B"/>
    <w:rsid w:val="004A073A"/>
    <w:rsid w:val="004A0837"/>
    <w:rsid w:val="004A1551"/>
    <w:rsid w:val="004A217E"/>
    <w:rsid w:val="004A241B"/>
    <w:rsid w:val="004A29CB"/>
    <w:rsid w:val="004A2A1C"/>
    <w:rsid w:val="004A3EC0"/>
    <w:rsid w:val="004A6856"/>
    <w:rsid w:val="004A6F48"/>
    <w:rsid w:val="004A7279"/>
    <w:rsid w:val="004A727C"/>
    <w:rsid w:val="004A76DD"/>
    <w:rsid w:val="004A7AAA"/>
    <w:rsid w:val="004B0454"/>
    <w:rsid w:val="004B0DDA"/>
    <w:rsid w:val="004B1326"/>
    <w:rsid w:val="004B1960"/>
    <w:rsid w:val="004B31C5"/>
    <w:rsid w:val="004B3DF5"/>
    <w:rsid w:val="004B42A7"/>
    <w:rsid w:val="004B624A"/>
    <w:rsid w:val="004C01C8"/>
    <w:rsid w:val="004C0206"/>
    <w:rsid w:val="004C0366"/>
    <w:rsid w:val="004C0F94"/>
    <w:rsid w:val="004C1B5E"/>
    <w:rsid w:val="004C2380"/>
    <w:rsid w:val="004C2C58"/>
    <w:rsid w:val="004C497C"/>
    <w:rsid w:val="004C4B6A"/>
    <w:rsid w:val="004C5DD7"/>
    <w:rsid w:val="004C6068"/>
    <w:rsid w:val="004C62B3"/>
    <w:rsid w:val="004C6432"/>
    <w:rsid w:val="004C6766"/>
    <w:rsid w:val="004C70E7"/>
    <w:rsid w:val="004C74C1"/>
    <w:rsid w:val="004C7CE6"/>
    <w:rsid w:val="004C7F01"/>
    <w:rsid w:val="004D1DFC"/>
    <w:rsid w:val="004D2AB6"/>
    <w:rsid w:val="004D3AEC"/>
    <w:rsid w:val="004D41D6"/>
    <w:rsid w:val="004D44C0"/>
    <w:rsid w:val="004D5261"/>
    <w:rsid w:val="004D58C6"/>
    <w:rsid w:val="004D6A15"/>
    <w:rsid w:val="004D7EFD"/>
    <w:rsid w:val="004E01F8"/>
    <w:rsid w:val="004E0424"/>
    <w:rsid w:val="004E2306"/>
    <w:rsid w:val="004E2863"/>
    <w:rsid w:val="004E2880"/>
    <w:rsid w:val="004E3042"/>
    <w:rsid w:val="004E3CF9"/>
    <w:rsid w:val="004E49E7"/>
    <w:rsid w:val="004E4CB7"/>
    <w:rsid w:val="004E57A8"/>
    <w:rsid w:val="004E5F58"/>
    <w:rsid w:val="004E6349"/>
    <w:rsid w:val="004E6E61"/>
    <w:rsid w:val="004E7871"/>
    <w:rsid w:val="004E7F69"/>
    <w:rsid w:val="004F0042"/>
    <w:rsid w:val="004F0AC4"/>
    <w:rsid w:val="004F0B8A"/>
    <w:rsid w:val="004F0ED4"/>
    <w:rsid w:val="004F11E2"/>
    <w:rsid w:val="004F229D"/>
    <w:rsid w:val="004F2440"/>
    <w:rsid w:val="004F2B0F"/>
    <w:rsid w:val="004F2EB6"/>
    <w:rsid w:val="004F3399"/>
    <w:rsid w:val="004F3B24"/>
    <w:rsid w:val="004F4775"/>
    <w:rsid w:val="004F5AD6"/>
    <w:rsid w:val="004F6B8E"/>
    <w:rsid w:val="004F77CB"/>
    <w:rsid w:val="004F7B32"/>
    <w:rsid w:val="004F7F35"/>
    <w:rsid w:val="005001ED"/>
    <w:rsid w:val="00500201"/>
    <w:rsid w:val="00500227"/>
    <w:rsid w:val="00500939"/>
    <w:rsid w:val="00500D2C"/>
    <w:rsid w:val="00500E85"/>
    <w:rsid w:val="00501173"/>
    <w:rsid w:val="00501783"/>
    <w:rsid w:val="00501D96"/>
    <w:rsid w:val="00501E03"/>
    <w:rsid w:val="00502ABA"/>
    <w:rsid w:val="00502FB7"/>
    <w:rsid w:val="00503150"/>
    <w:rsid w:val="005035E7"/>
    <w:rsid w:val="00503A06"/>
    <w:rsid w:val="00503BAE"/>
    <w:rsid w:val="0050455F"/>
    <w:rsid w:val="005046A7"/>
    <w:rsid w:val="00504B8B"/>
    <w:rsid w:val="00504F72"/>
    <w:rsid w:val="00505C5E"/>
    <w:rsid w:val="00505E53"/>
    <w:rsid w:val="0050604D"/>
    <w:rsid w:val="005066B6"/>
    <w:rsid w:val="00506714"/>
    <w:rsid w:val="00507A9A"/>
    <w:rsid w:val="00507ECD"/>
    <w:rsid w:val="00510D0F"/>
    <w:rsid w:val="00510FE8"/>
    <w:rsid w:val="0051131F"/>
    <w:rsid w:val="00511D01"/>
    <w:rsid w:val="005123D2"/>
    <w:rsid w:val="00512448"/>
    <w:rsid w:val="005129DE"/>
    <w:rsid w:val="00513AC3"/>
    <w:rsid w:val="00514587"/>
    <w:rsid w:val="0051465A"/>
    <w:rsid w:val="00514B9F"/>
    <w:rsid w:val="005150B9"/>
    <w:rsid w:val="0051559F"/>
    <w:rsid w:val="00515DA2"/>
    <w:rsid w:val="00516D8E"/>
    <w:rsid w:val="00517700"/>
    <w:rsid w:val="00517999"/>
    <w:rsid w:val="0052081F"/>
    <w:rsid w:val="0052090D"/>
    <w:rsid w:val="00521189"/>
    <w:rsid w:val="005213A1"/>
    <w:rsid w:val="005226A8"/>
    <w:rsid w:val="00522CD1"/>
    <w:rsid w:val="0052309D"/>
    <w:rsid w:val="00523A3F"/>
    <w:rsid w:val="005247C5"/>
    <w:rsid w:val="00524B03"/>
    <w:rsid w:val="00524BD0"/>
    <w:rsid w:val="00524CD7"/>
    <w:rsid w:val="00525BB0"/>
    <w:rsid w:val="005266D6"/>
    <w:rsid w:val="00526B1F"/>
    <w:rsid w:val="00527169"/>
    <w:rsid w:val="005278C2"/>
    <w:rsid w:val="00527925"/>
    <w:rsid w:val="00531ADE"/>
    <w:rsid w:val="00531DD1"/>
    <w:rsid w:val="005329E3"/>
    <w:rsid w:val="00532BD8"/>
    <w:rsid w:val="00533EFE"/>
    <w:rsid w:val="005341C1"/>
    <w:rsid w:val="00535223"/>
    <w:rsid w:val="0053589B"/>
    <w:rsid w:val="00535B70"/>
    <w:rsid w:val="005379C4"/>
    <w:rsid w:val="00537F4C"/>
    <w:rsid w:val="005415BE"/>
    <w:rsid w:val="00541AB4"/>
    <w:rsid w:val="00541C3F"/>
    <w:rsid w:val="005420E4"/>
    <w:rsid w:val="00543B84"/>
    <w:rsid w:val="00543E96"/>
    <w:rsid w:val="00544039"/>
    <w:rsid w:val="00544212"/>
    <w:rsid w:val="00544747"/>
    <w:rsid w:val="00544FB5"/>
    <w:rsid w:val="005453A2"/>
    <w:rsid w:val="00546625"/>
    <w:rsid w:val="005466C2"/>
    <w:rsid w:val="00547C04"/>
    <w:rsid w:val="0055074C"/>
    <w:rsid w:val="00552338"/>
    <w:rsid w:val="005534BD"/>
    <w:rsid w:val="00553695"/>
    <w:rsid w:val="00553D3F"/>
    <w:rsid w:val="005552D8"/>
    <w:rsid w:val="0055562A"/>
    <w:rsid w:val="00555750"/>
    <w:rsid w:val="005559D9"/>
    <w:rsid w:val="005563FD"/>
    <w:rsid w:val="00556941"/>
    <w:rsid w:val="005576C7"/>
    <w:rsid w:val="00557A39"/>
    <w:rsid w:val="00557EFA"/>
    <w:rsid w:val="005612F0"/>
    <w:rsid w:val="0056136B"/>
    <w:rsid w:val="00561534"/>
    <w:rsid w:val="005616D1"/>
    <w:rsid w:val="00561801"/>
    <w:rsid w:val="0056279F"/>
    <w:rsid w:val="00562B18"/>
    <w:rsid w:val="0056338F"/>
    <w:rsid w:val="005635E5"/>
    <w:rsid w:val="00563887"/>
    <w:rsid w:val="00563A7A"/>
    <w:rsid w:val="0056410F"/>
    <w:rsid w:val="00564AB8"/>
    <w:rsid w:val="00564E1F"/>
    <w:rsid w:val="0056547C"/>
    <w:rsid w:val="00566777"/>
    <w:rsid w:val="00566D73"/>
    <w:rsid w:val="005671B8"/>
    <w:rsid w:val="00567394"/>
    <w:rsid w:val="005673DC"/>
    <w:rsid w:val="00567665"/>
    <w:rsid w:val="00567991"/>
    <w:rsid w:val="005706AD"/>
    <w:rsid w:val="00571417"/>
    <w:rsid w:val="00571BC1"/>
    <w:rsid w:val="0057209D"/>
    <w:rsid w:val="00573B10"/>
    <w:rsid w:val="00574901"/>
    <w:rsid w:val="00574FE4"/>
    <w:rsid w:val="00577478"/>
    <w:rsid w:val="005778D0"/>
    <w:rsid w:val="00582431"/>
    <w:rsid w:val="00582880"/>
    <w:rsid w:val="00582B08"/>
    <w:rsid w:val="005838E1"/>
    <w:rsid w:val="005839B0"/>
    <w:rsid w:val="00583C91"/>
    <w:rsid w:val="00584077"/>
    <w:rsid w:val="00584683"/>
    <w:rsid w:val="00584788"/>
    <w:rsid w:val="00585070"/>
    <w:rsid w:val="00585EDF"/>
    <w:rsid w:val="00586683"/>
    <w:rsid w:val="005868CD"/>
    <w:rsid w:val="00586A88"/>
    <w:rsid w:val="005875C5"/>
    <w:rsid w:val="00590571"/>
    <w:rsid w:val="00590960"/>
    <w:rsid w:val="00590D60"/>
    <w:rsid w:val="00590ECA"/>
    <w:rsid w:val="00590ED0"/>
    <w:rsid w:val="0059112D"/>
    <w:rsid w:val="005913EB"/>
    <w:rsid w:val="005927D3"/>
    <w:rsid w:val="00593565"/>
    <w:rsid w:val="00595341"/>
    <w:rsid w:val="00595844"/>
    <w:rsid w:val="0059646B"/>
    <w:rsid w:val="00597794"/>
    <w:rsid w:val="00597ED6"/>
    <w:rsid w:val="005A0465"/>
    <w:rsid w:val="005A08F8"/>
    <w:rsid w:val="005A0A2E"/>
    <w:rsid w:val="005A0A63"/>
    <w:rsid w:val="005A25A4"/>
    <w:rsid w:val="005A27DA"/>
    <w:rsid w:val="005A3EE7"/>
    <w:rsid w:val="005A4CE3"/>
    <w:rsid w:val="005A4E94"/>
    <w:rsid w:val="005A4EEC"/>
    <w:rsid w:val="005A5A96"/>
    <w:rsid w:val="005A7018"/>
    <w:rsid w:val="005A703B"/>
    <w:rsid w:val="005A763A"/>
    <w:rsid w:val="005B0103"/>
    <w:rsid w:val="005B0567"/>
    <w:rsid w:val="005B0693"/>
    <w:rsid w:val="005B091C"/>
    <w:rsid w:val="005B0BB8"/>
    <w:rsid w:val="005B10E5"/>
    <w:rsid w:val="005B2763"/>
    <w:rsid w:val="005B3EE6"/>
    <w:rsid w:val="005B4504"/>
    <w:rsid w:val="005B465F"/>
    <w:rsid w:val="005B53A5"/>
    <w:rsid w:val="005B5AB4"/>
    <w:rsid w:val="005B74A5"/>
    <w:rsid w:val="005C06CF"/>
    <w:rsid w:val="005C07D9"/>
    <w:rsid w:val="005C1A43"/>
    <w:rsid w:val="005C2D0D"/>
    <w:rsid w:val="005C2DEB"/>
    <w:rsid w:val="005C3357"/>
    <w:rsid w:val="005C33F3"/>
    <w:rsid w:val="005C3D5D"/>
    <w:rsid w:val="005C407B"/>
    <w:rsid w:val="005C49EC"/>
    <w:rsid w:val="005C4DF4"/>
    <w:rsid w:val="005C53C7"/>
    <w:rsid w:val="005C559A"/>
    <w:rsid w:val="005C5F2B"/>
    <w:rsid w:val="005C63B0"/>
    <w:rsid w:val="005C66F1"/>
    <w:rsid w:val="005C796D"/>
    <w:rsid w:val="005C79AE"/>
    <w:rsid w:val="005C7EC8"/>
    <w:rsid w:val="005D1733"/>
    <w:rsid w:val="005D286F"/>
    <w:rsid w:val="005D3047"/>
    <w:rsid w:val="005D3BC1"/>
    <w:rsid w:val="005D42A4"/>
    <w:rsid w:val="005D482C"/>
    <w:rsid w:val="005D5189"/>
    <w:rsid w:val="005D5C27"/>
    <w:rsid w:val="005E0277"/>
    <w:rsid w:val="005E04E2"/>
    <w:rsid w:val="005E0699"/>
    <w:rsid w:val="005E0B34"/>
    <w:rsid w:val="005E0BC3"/>
    <w:rsid w:val="005E1A10"/>
    <w:rsid w:val="005E1AB2"/>
    <w:rsid w:val="005E2695"/>
    <w:rsid w:val="005E2BC7"/>
    <w:rsid w:val="005E2C63"/>
    <w:rsid w:val="005E346D"/>
    <w:rsid w:val="005E34DD"/>
    <w:rsid w:val="005E365D"/>
    <w:rsid w:val="005E3E2D"/>
    <w:rsid w:val="005E3F24"/>
    <w:rsid w:val="005E416B"/>
    <w:rsid w:val="005E477C"/>
    <w:rsid w:val="005E4E1B"/>
    <w:rsid w:val="005E4FB4"/>
    <w:rsid w:val="005E559C"/>
    <w:rsid w:val="005E566A"/>
    <w:rsid w:val="005E6C78"/>
    <w:rsid w:val="005E7B8A"/>
    <w:rsid w:val="005F00BD"/>
    <w:rsid w:val="005F0788"/>
    <w:rsid w:val="005F1022"/>
    <w:rsid w:val="005F10DA"/>
    <w:rsid w:val="005F1388"/>
    <w:rsid w:val="005F17A0"/>
    <w:rsid w:val="005F1F17"/>
    <w:rsid w:val="005F2440"/>
    <w:rsid w:val="005F3521"/>
    <w:rsid w:val="005F441A"/>
    <w:rsid w:val="005F517D"/>
    <w:rsid w:val="005F52A4"/>
    <w:rsid w:val="005F6167"/>
    <w:rsid w:val="005F65FA"/>
    <w:rsid w:val="005F72DD"/>
    <w:rsid w:val="005F7548"/>
    <w:rsid w:val="005F7971"/>
    <w:rsid w:val="005F7A73"/>
    <w:rsid w:val="005F7BBC"/>
    <w:rsid w:val="00600162"/>
    <w:rsid w:val="006005F7"/>
    <w:rsid w:val="006009E5"/>
    <w:rsid w:val="00600B07"/>
    <w:rsid w:val="00600EC0"/>
    <w:rsid w:val="006011FC"/>
    <w:rsid w:val="00602572"/>
    <w:rsid w:val="00602A49"/>
    <w:rsid w:val="00602DBB"/>
    <w:rsid w:val="006036C6"/>
    <w:rsid w:val="006039C6"/>
    <w:rsid w:val="00604138"/>
    <w:rsid w:val="0060418B"/>
    <w:rsid w:val="00604456"/>
    <w:rsid w:val="006053B8"/>
    <w:rsid w:val="00605494"/>
    <w:rsid w:val="006054D3"/>
    <w:rsid w:val="006060BD"/>
    <w:rsid w:val="00606857"/>
    <w:rsid w:val="0060725B"/>
    <w:rsid w:val="006073C0"/>
    <w:rsid w:val="006077E7"/>
    <w:rsid w:val="00610624"/>
    <w:rsid w:val="00610C63"/>
    <w:rsid w:val="00610F59"/>
    <w:rsid w:val="00611228"/>
    <w:rsid w:val="006114D9"/>
    <w:rsid w:val="006120F9"/>
    <w:rsid w:val="00612174"/>
    <w:rsid w:val="00614533"/>
    <w:rsid w:val="00615E56"/>
    <w:rsid w:val="00616810"/>
    <w:rsid w:val="00616B40"/>
    <w:rsid w:val="00616EF5"/>
    <w:rsid w:val="0061714D"/>
    <w:rsid w:val="00617388"/>
    <w:rsid w:val="00620A03"/>
    <w:rsid w:val="0062135B"/>
    <w:rsid w:val="00621B6B"/>
    <w:rsid w:val="00621DFC"/>
    <w:rsid w:val="00621F87"/>
    <w:rsid w:val="00621FEC"/>
    <w:rsid w:val="006227D3"/>
    <w:rsid w:val="00622AA0"/>
    <w:rsid w:val="00622CE9"/>
    <w:rsid w:val="00622EB5"/>
    <w:rsid w:val="00622F5C"/>
    <w:rsid w:val="00623619"/>
    <w:rsid w:val="00623AAC"/>
    <w:rsid w:val="0062531A"/>
    <w:rsid w:val="00626254"/>
    <w:rsid w:val="00626286"/>
    <w:rsid w:val="0062659A"/>
    <w:rsid w:val="006269FD"/>
    <w:rsid w:val="00626A28"/>
    <w:rsid w:val="00626B69"/>
    <w:rsid w:val="0062712B"/>
    <w:rsid w:val="00627319"/>
    <w:rsid w:val="00627402"/>
    <w:rsid w:val="00630BA9"/>
    <w:rsid w:val="00630E44"/>
    <w:rsid w:val="00630E8F"/>
    <w:rsid w:val="00633994"/>
    <w:rsid w:val="00633C83"/>
    <w:rsid w:val="006344AB"/>
    <w:rsid w:val="006356DB"/>
    <w:rsid w:val="00636067"/>
    <w:rsid w:val="006362CA"/>
    <w:rsid w:val="00636A9B"/>
    <w:rsid w:val="006379ED"/>
    <w:rsid w:val="00637CD9"/>
    <w:rsid w:val="00642272"/>
    <w:rsid w:val="006428A1"/>
    <w:rsid w:val="00642C04"/>
    <w:rsid w:val="0064320D"/>
    <w:rsid w:val="00643812"/>
    <w:rsid w:val="00643CD4"/>
    <w:rsid w:val="006440E7"/>
    <w:rsid w:val="00645B66"/>
    <w:rsid w:val="00646E03"/>
    <w:rsid w:val="00646E63"/>
    <w:rsid w:val="00647995"/>
    <w:rsid w:val="00647C50"/>
    <w:rsid w:val="00650974"/>
    <w:rsid w:val="00650E8F"/>
    <w:rsid w:val="006517AB"/>
    <w:rsid w:val="00651887"/>
    <w:rsid w:val="006518CF"/>
    <w:rsid w:val="00651F9F"/>
    <w:rsid w:val="00652A4F"/>
    <w:rsid w:val="00652D50"/>
    <w:rsid w:val="00653583"/>
    <w:rsid w:val="006536A5"/>
    <w:rsid w:val="006545B0"/>
    <w:rsid w:val="00654B52"/>
    <w:rsid w:val="00654C39"/>
    <w:rsid w:val="00655116"/>
    <w:rsid w:val="0065577B"/>
    <w:rsid w:val="0065583C"/>
    <w:rsid w:val="00655A92"/>
    <w:rsid w:val="00656377"/>
    <w:rsid w:val="0065659B"/>
    <w:rsid w:val="00656B16"/>
    <w:rsid w:val="00660FB5"/>
    <w:rsid w:val="0066122F"/>
    <w:rsid w:val="00661861"/>
    <w:rsid w:val="00662A8C"/>
    <w:rsid w:val="00663575"/>
    <w:rsid w:val="006635FA"/>
    <w:rsid w:val="00663A54"/>
    <w:rsid w:val="00663FB3"/>
    <w:rsid w:val="00664DFC"/>
    <w:rsid w:val="00664FFE"/>
    <w:rsid w:val="00665632"/>
    <w:rsid w:val="00666234"/>
    <w:rsid w:val="00667661"/>
    <w:rsid w:val="00667E65"/>
    <w:rsid w:val="00670C10"/>
    <w:rsid w:val="00670C33"/>
    <w:rsid w:val="006717DF"/>
    <w:rsid w:val="0067294E"/>
    <w:rsid w:val="00672B81"/>
    <w:rsid w:val="00672E74"/>
    <w:rsid w:val="006738F9"/>
    <w:rsid w:val="00673B63"/>
    <w:rsid w:val="00673F83"/>
    <w:rsid w:val="00673FCE"/>
    <w:rsid w:val="00674B67"/>
    <w:rsid w:val="00674D10"/>
    <w:rsid w:val="00674D8D"/>
    <w:rsid w:val="00674E40"/>
    <w:rsid w:val="00675C88"/>
    <w:rsid w:val="006760B4"/>
    <w:rsid w:val="0067676C"/>
    <w:rsid w:val="0067682E"/>
    <w:rsid w:val="00676F2E"/>
    <w:rsid w:val="006773E2"/>
    <w:rsid w:val="00677728"/>
    <w:rsid w:val="0068055C"/>
    <w:rsid w:val="00681513"/>
    <w:rsid w:val="006819A6"/>
    <w:rsid w:val="0068255F"/>
    <w:rsid w:val="00682DA2"/>
    <w:rsid w:val="0068336F"/>
    <w:rsid w:val="0068375A"/>
    <w:rsid w:val="006847F4"/>
    <w:rsid w:val="00685512"/>
    <w:rsid w:val="0068560F"/>
    <w:rsid w:val="006864EC"/>
    <w:rsid w:val="006872AB"/>
    <w:rsid w:val="00690AAE"/>
    <w:rsid w:val="00690C22"/>
    <w:rsid w:val="00692532"/>
    <w:rsid w:val="0069482B"/>
    <w:rsid w:val="0069520F"/>
    <w:rsid w:val="006953D0"/>
    <w:rsid w:val="006957FC"/>
    <w:rsid w:val="006959D2"/>
    <w:rsid w:val="00695C33"/>
    <w:rsid w:val="00695DB8"/>
    <w:rsid w:val="00695F86"/>
    <w:rsid w:val="006960C3"/>
    <w:rsid w:val="00696B54"/>
    <w:rsid w:val="006970AA"/>
    <w:rsid w:val="006970F6"/>
    <w:rsid w:val="0069716F"/>
    <w:rsid w:val="00697E22"/>
    <w:rsid w:val="00697F59"/>
    <w:rsid w:val="006A1333"/>
    <w:rsid w:val="006A2E15"/>
    <w:rsid w:val="006A2F0A"/>
    <w:rsid w:val="006A33A1"/>
    <w:rsid w:val="006A4CC0"/>
    <w:rsid w:val="006A51D6"/>
    <w:rsid w:val="006A523B"/>
    <w:rsid w:val="006A5B0A"/>
    <w:rsid w:val="006A5C82"/>
    <w:rsid w:val="006A6F6B"/>
    <w:rsid w:val="006A71E3"/>
    <w:rsid w:val="006A7584"/>
    <w:rsid w:val="006A7593"/>
    <w:rsid w:val="006A7932"/>
    <w:rsid w:val="006B0A91"/>
    <w:rsid w:val="006B1A51"/>
    <w:rsid w:val="006B3626"/>
    <w:rsid w:val="006B3772"/>
    <w:rsid w:val="006B50CC"/>
    <w:rsid w:val="006B5103"/>
    <w:rsid w:val="006B5AA0"/>
    <w:rsid w:val="006B637F"/>
    <w:rsid w:val="006B66E5"/>
    <w:rsid w:val="006B6720"/>
    <w:rsid w:val="006B708D"/>
    <w:rsid w:val="006C03E9"/>
    <w:rsid w:val="006C0A53"/>
    <w:rsid w:val="006C100E"/>
    <w:rsid w:val="006C164A"/>
    <w:rsid w:val="006C250F"/>
    <w:rsid w:val="006C28BF"/>
    <w:rsid w:val="006C37AC"/>
    <w:rsid w:val="006C3A03"/>
    <w:rsid w:val="006C3EE9"/>
    <w:rsid w:val="006C44CE"/>
    <w:rsid w:val="006C5AC6"/>
    <w:rsid w:val="006C61CB"/>
    <w:rsid w:val="006C6A78"/>
    <w:rsid w:val="006C7407"/>
    <w:rsid w:val="006D0AC6"/>
    <w:rsid w:val="006D0DD0"/>
    <w:rsid w:val="006D1E3A"/>
    <w:rsid w:val="006D346F"/>
    <w:rsid w:val="006D360C"/>
    <w:rsid w:val="006D3AD9"/>
    <w:rsid w:val="006D4074"/>
    <w:rsid w:val="006D42C0"/>
    <w:rsid w:val="006D4609"/>
    <w:rsid w:val="006D4D38"/>
    <w:rsid w:val="006D5180"/>
    <w:rsid w:val="006D5932"/>
    <w:rsid w:val="006D6CDF"/>
    <w:rsid w:val="006D7598"/>
    <w:rsid w:val="006D7825"/>
    <w:rsid w:val="006E07F0"/>
    <w:rsid w:val="006E091A"/>
    <w:rsid w:val="006E0F0A"/>
    <w:rsid w:val="006E17B1"/>
    <w:rsid w:val="006E1D98"/>
    <w:rsid w:val="006E2B0E"/>
    <w:rsid w:val="006E4B37"/>
    <w:rsid w:val="006E5167"/>
    <w:rsid w:val="006E5AD0"/>
    <w:rsid w:val="006E6164"/>
    <w:rsid w:val="006E71D5"/>
    <w:rsid w:val="006E7343"/>
    <w:rsid w:val="006E7B8F"/>
    <w:rsid w:val="006F00FB"/>
    <w:rsid w:val="006F0DFA"/>
    <w:rsid w:val="006F3697"/>
    <w:rsid w:val="006F41F0"/>
    <w:rsid w:val="006F4A2F"/>
    <w:rsid w:val="006F5175"/>
    <w:rsid w:val="006F51F9"/>
    <w:rsid w:val="006F52AA"/>
    <w:rsid w:val="006F5BA5"/>
    <w:rsid w:val="007000BF"/>
    <w:rsid w:val="007008A2"/>
    <w:rsid w:val="00701650"/>
    <w:rsid w:val="0070240D"/>
    <w:rsid w:val="00702A72"/>
    <w:rsid w:val="00703982"/>
    <w:rsid w:val="00703B4A"/>
    <w:rsid w:val="007057BF"/>
    <w:rsid w:val="00705888"/>
    <w:rsid w:val="007065AC"/>
    <w:rsid w:val="0070691C"/>
    <w:rsid w:val="00706B85"/>
    <w:rsid w:val="00706C3C"/>
    <w:rsid w:val="00706DC0"/>
    <w:rsid w:val="00707B20"/>
    <w:rsid w:val="007101E6"/>
    <w:rsid w:val="00711522"/>
    <w:rsid w:val="007120AB"/>
    <w:rsid w:val="007126A8"/>
    <w:rsid w:val="0071305F"/>
    <w:rsid w:val="00713509"/>
    <w:rsid w:val="007142C3"/>
    <w:rsid w:val="00714818"/>
    <w:rsid w:val="00714C73"/>
    <w:rsid w:val="00714F74"/>
    <w:rsid w:val="007156F0"/>
    <w:rsid w:val="007157C1"/>
    <w:rsid w:val="007174E8"/>
    <w:rsid w:val="00717793"/>
    <w:rsid w:val="007178A1"/>
    <w:rsid w:val="00717A4E"/>
    <w:rsid w:val="00717F30"/>
    <w:rsid w:val="00720184"/>
    <w:rsid w:val="007201B7"/>
    <w:rsid w:val="00720605"/>
    <w:rsid w:val="007218EF"/>
    <w:rsid w:val="00722C9B"/>
    <w:rsid w:val="00722E78"/>
    <w:rsid w:val="00723325"/>
    <w:rsid w:val="0072390E"/>
    <w:rsid w:val="0072394A"/>
    <w:rsid w:val="0072473A"/>
    <w:rsid w:val="0072664A"/>
    <w:rsid w:val="007275CB"/>
    <w:rsid w:val="007307A7"/>
    <w:rsid w:val="00732604"/>
    <w:rsid w:val="00733B90"/>
    <w:rsid w:val="007342D9"/>
    <w:rsid w:val="007346F4"/>
    <w:rsid w:val="00734D0F"/>
    <w:rsid w:val="007357BD"/>
    <w:rsid w:val="00736784"/>
    <w:rsid w:val="0073789A"/>
    <w:rsid w:val="00741444"/>
    <w:rsid w:val="0074164D"/>
    <w:rsid w:val="00741B5E"/>
    <w:rsid w:val="007427C2"/>
    <w:rsid w:val="00742BFD"/>
    <w:rsid w:val="0074308A"/>
    <w:rsid w:val="007433F1"/>
    <w:rsid w:val="00743676"/>
    <w:rsid w:val="007436E9"/>
    <w:rsid w:val="00744444"/>
    <w:rsid w:val="0074487A"/>
    <w:rsid w:val="00745B81"/>
    <w:rsid w:val="00745F0A"/>
    <w:rsid w:val="007465C0"/>
    <w:rsid w:val="00746D37"/>
    <w:rsid w:val="00746FD3"/>
    <w:rsid w:val="00751461"/>
    <w:rsid w:val="00751529"/>
    <w:rsid w:val="00752259"/>
    <w:rsid w:val="00752976"/>
    <w:rsid w:val="00752BB3"/>
    <w:rsid w:val="00752C26"/>
    <w:rsid w:val="00752E11"/>
    <w:rsid w:val="00753FA7"/>
    <w:rsid w:val="00755FED"/>
    <w:rsid w:val="0075678B"/>
    <w:rsid w:val="0075684C"/>
    <w:rsid w:val="007575D7"/>
    <w:rsid w:val="007601E2"/>
    <w:rsid w:val="00760737"/>
    <w:rsid w:val="00760887"/>
    <w:rsid w:val="0076127A"/>
    <w:rsid w:val="007613DF"/>
    <w:rsid w:val="00762190"/>
    <w:rsid w:val="007628E8"/>
    <w:rsid w:val="00762CA1"/>
    <w:rsid w:val="00762DDE"/>
    <w:rsid w:val="00762F80"/>
    <w:rsid w:val="00764744"/>
    <w:rsid w:val="007648E8"/>
    <w:rsid w:val="007649DF"/>
    <w:rsid w:val="00764D00"/>
    <w:rsid w:val="00765EE6"/>
    <w:rsid w:val="0076609B"/>
    <w:rsid w:val="0076626E"/>
    <w:rsid w:val="00766999"/>
    <w:rsid w:val="00766F35"/>
    <w:rsid w:val="00767786"/>
    <w:rsid w:val="007678D0"/>
    <w:rsid w:val="00767C8D"/>
    <w:rsid w:val="00767E88"/>
    <w:rsid w:val="00767EA4"/>
    <w:rsid w:val="00767FF4"/>
    <w:rsid w:val="00770136"/>
    <w:rsid w:val="00770726"/>
    <w:rsid w:val="00770D84"/>
    <w:rsid w:val="0077245C"/>
    <w:rsid w:val="00773F67"/>
    <w:rsid w:val="00774146"/>
    <w:rsid w:val="007747AE"/>
    <w:rsid w:val="00774A91"/>
    <w:rsid w:val="00774DD0"/>
    <w:rsid w:val="00775B99"/>
    <w:rsid w:val="00775E5E"/>
    <w:rsid w:val="00775E98"/>
    <w:rsid w:val="00776A67"/>
    <w:rsid w:val="00777D70"/>
    <w:rsid w:val="00780C4D"/>
    <w:rsid w:val="007815AC"/>
    <w:rsid w:val="00781D71"/>
    <w:rsid w:val="00781F84"/>
    <w:rsid w:val="007822E1"/>
    <w:rsid w:val="00783159"/>
    <w:rsid w:val="00783409"/>
    <w:rsid w:val="00783572"/>
    <w:rsid w:val="00783C81"/>
    <w:rsid w:val="00784049"/>
    <w:rsid w:val="00786526"/>
    <w:rsid w:val="007865C1"/>
    <w:rsid w:val="00786A9D"/>
    <w:rsid w:val="0079011F"/>
    <w:rsid w:val="00790166"/>
    <w:rsid w:val="0079092E"/>
    <w:rsid w:val="00791DE5"/>
    <w:rsid w:val="00792E0F"/>
    <w:rsid w:val="00793EE6"/>
    <w:rsid w:val="00794DF9"/>
    <w:rsid w:val="00795851"/>
    <w:rsid w:val="007958F7"/>
    <w:rsid w:val="007964CC"/>
    <w:rsid w:val="0079666D"/>
    <w:rsid w:val="00797611"/>
    <w:rsid w:val="00797703"/>
    <w:rsid w:val="00797BE8"/>
    <w:rsid w:val="00797D71"/>
    <w:rsid w:val="00797DFE"/>
    <w:rsid w:val="007A0120"/>
    <w:rsid w:val="007A101F"/>
    <w:rsid w:val="007A1402"/>
    <w:rsid w:val="007A27B1"/>
    <w:rsid w:val="007A3AE5"/>
    <w:rsid w:val="007A3AEA"/>
    <w:rsid w:val="007A3D21"/>
    <w:rsid w:val="007A4BAC"/>
    <w:rsid w:val="007A4CDE"/>
    <w:rsid w:val="007A5113"/>
    <w:rsid w:val="007A5852"/>
    <w:rsid w:val="007A5DCA"/>
    <w:rsid w:val="007A653F"/>
    <w:rsid w:val="007A7991"/>
    <w:rsid w:val="007A7E0F"/>
    <w:rsid w:val="007B0268"/>
    <w:rsid w:val="007B1496"/>
    <w:rsid w:val="007B219C"/>
    <w:rsid w:val="007B24FA"/>
    <w:rsid w:val="007B2617"/>
    <w:rsid w:val="007B2B63"/>
    <w:rsid w:val="007B351A"/>
    <w:rsid w:val="007B3FF6"/>
    <w:rsid w:val="007B4749"/>
    <w:rsid w:val="007B4ABA"/>
    <w:rsid w:val="007B4C9C"/>
    <w:rsid w:val="007B5278"/>
    <w:rsid w:val="007B675E"/>
    <w:rsid w:val="007B706A"/>
    <w:rsid w:val="007B7BA7"/>
    <w:rsid w:val="007B7E07"/>
    <w:rsid w:val="007C0FBE"/>
    <w:rsid w:val="007C1078"/>
    <w:rsid w:val="007C1896"/>
    <w:rsid w:val="007C1D2F"/>
    <w:rsid w:val="007C239F"/>
    <w:rsid w:val="007C316C"/>
    <w:rsid w:val="007C3264"/>
    <w:rsid w:val="007C3401"/>
    <w:rsid w:val="007C3D19"/>
    <w:rsid w:val="007C42E0"/>
    <w:rsid w:val="007C44C4"/>
    <w:rsid w:val="007C47E4"/>
    <w:rsid w:val="007C6ABE"/>
    <w:rsid w:val="007C6EEF"/>
    <w:rsid w:val="007C7394"/>
    <w:rsid w:val="007C7A3E"/>
    <w:rsid w:val="007C7D44"/>
    <w:rsid w:val="007D0902"/>
    <w:rsid w:val="007D0BCD"/>
    <w:rsid w:val="007D0DD0"/>
    <w:rsid w:val="007D1B80"/>
    <w:rsid w:val="007D2EE5"/>
    <w:rsid w:val="007D30F3"/>
    <w:rsid w:val="007D3A1F"/>
    <w:rsid w:val="007D4566"/>
    <w:rsid w:val="007D6E6F"/>
    <w:rsid w:val="007D77A3"/>
    <w:rsid w:val="007E063C"/>
    <w:rsid w:val="007E08E1"/>
    <w:rsid w:val="007E18A3"/>
    <w:rsid w:val="007E1F99"/>
    <w:rsid w:val="007E2043"/>
    <w:rsid w:val="007E296F"/>
    <w:rsid w:val="007E29E2"/>
    <w:rsid w:val="007E4380"/>
    <w:rsid w:val="007E5BC7"/>
    <w:rsid w:val="007E5DFB"/>
    <w:rsid w:val="007E5E47"/>
    <w:rsid w:val="007E61E9"/>
    <w:rsid w:val="007E6AEA"/>
    <w:rsid w:val="007F12E1"/>
    <w:rsid w:val="007F1892"/>
    <w:rsid w:val="007F1AD7"/>
    <w:rsid w:val="007F1BE8"/>
    <w:rsid w:val="007F2491"/>
    <w:rsid w:val="007F2666"/>
    <w:rsid w:val="007F3234"/>
    <w:rsid w:val="007F337E"/>
    <w:rsid w:val="007F3725"/>
    <w:rsid w:val="007F39B3"/>
    <w:rsid w:val="007F3A11"/>
    <w:rsid w:val="007F3E9D"/>
    <w:rsid w:val="007F3EA4"/>
    <w:rsid w:val="007F5C9A"/>
    <w:rsid w:val="007F6E59"/>
    <w:rsid w:val="007F7200"/>
    <w:rsid w:val="007F722D"/>
    <w:rsid w:val="007F7B0C"/>
    <w:rsid w:val="007F7CC7"/>
    <w:rsid w:val="008003CB"/>
    <w:rsid w:val="008004B8"/>
    <w:rsid w:val="00801020"/>
    <w:rsid w:val="00802076"/>
    <w:rsid w:val="00802F9C"/>
    <w:rsid w:val="008039C7"/>
    <w:rsid w:val="00803C9A"/>
    <w:rsid w:val="00804BF4"/>
    <w:rsid w:val="0080535E"/>
    <w:rsid w:val="00805948"/>
    <w:rsid w:val="00805C24"/>
    <w:rsid w:val="00806709"/>
    <w:rsid w:val="008068D6"/>
    <w:rsid w:val="0080744D"/>
    <w:rsid w:val="00807F35"/>
    <w:rsid w:val="00810497"/>
    <w:rsid w:val="00810B8A"/>
    <w:rsid w:val="00810C3C"/>
    <w:rsid w:val="008119E0"/>
    <w:rsid w:val="00811D21"/>
    <w:rsid w:val="008122B6"/>
    <w:rsid w:val="00812641"/>
    <w:rsid w:val="00812F17"/>
    <w:rsid w:val="00813448"/>
    <w:rsid w:val="00813498"/>
    <w:rsid w:val="0081378C"/>
    <w:rsid w:val="00813CF9"/>
    <w:rsid w:val="00815AE8"/>
    <w:rsid w:val="00816A02"/>
    <w:rsid w:val="0081773B"/>
    <w:rsid w:val="0082018B"/>
    <w:rsid w:val="00820516"/>
    <w:rsid w:val="00821D08"/>
    <w:rsid w:val="00821F5B"/>
    <w:rsid w:val="008222D0"/>
    <w:rsid w:val="0082289D"/>
    <w:rsid w:val="00823CC4"/>
    <w:rsid w:val="0082407F"/>
    <w:rsid w:val="00824643"/>
    <w:rsid w:val="00825C56"/>
    <w:rsid w:val="00826FF2"/>
    <w:rsid w:val="00827796"/>
    <w:rsid w:val="00827E16"/>
    <w:rsid w:val="00830E55"/>
    <w:rsid w:val="00830E5E"/>
    <w:rsid w:val="00831416"/>
    <w:rsid w:val="00831E5E"/>
    <w:rsid w:val="008331F1"/>
    <w:rsid w:val="00833E14"/>
    <w:rsid w:val="00834650"/>
    <w:rsid w:val="00834AD3"/>
    <w:rsid w:val="008356FD"/>
    <w:rsid w:val="00836326"/>
    <w:rsid w:val="00836F6C"/>
    <w:rsid w:val="0083739A"/>
    <w:rsid w:val="008378EB"/>
    <w:rsid w:val="00837C8D"/>
    <w:rsid w:val="0084013A"/>
    <w:rsid w:val="00841628"/>
    <w:rsid w:val="0084232E"/>
    <w:rsid w:val="00843A7D"/>
    <w:rsid w:val="008452A3"/>
    <w:rsid w:val="0084534E"/>
    <w:rsid w:val="00845B00"/>
    <w:rsid w:val="00847203"/>
    <w:rsid w:val="0084772D"/>
    <w:rsid w:val="00847944"/>
    <w:rsid w:val="00847A33"/>
    <w:rsid w:val="00850040"/>
    <w:rsid w:val="00851130"/>
    <w:rsid w:val="00851429"/>
    <w:rsid w:val="008517DC"/>
    <w:rsid w:val="0085477D"/>
    <w:rsid w:val="00854FEE"/>
    <w:rsid w:val="00855063"/>
    <w:rsid w:val="00855B59"/>
    <w:rsid w:val="00855B94"/>
    <w:rsid w:val="008560DE"/>
    <w:rsid w:val="00857167"/>
    <w:rsid w:val="008601C6"/>
    <w:rsid w:val="008605D2"/>
    <w:rsid w:val="00861444"/>
    <w:rsid w:val="008619B2"/>
    <w:rsid w:val="008619B3"/>
    <w:rsid w:val="00861B7D"/>
    <w:rsid w:val="00862082"/>
    <w:rsid w:val="00862D13"/>
    <w:rsid w:val="0086345B"/>
    <w:rsid w:val="00863DEE"/>
    <w:rsid w:val="0086441E"/>
    <w:rsid w:val="008645B5"/>
    <w:rsid w:val="00864D54"/>
    <w:rsid w:val="00865203"/>
    <w:rsid w:val="008654E8"/>
    <w:rsid w:val="00865518"/>
    <w:rsid w:val="00866420"/>
    <w:rsid w:val="0086645D"/>
    <w:rsid w:val="008669D4"/>
    <w:rsid w:val="00866D2F"/>
    <w:rsid w:val="00866EE9"/>
    <w:rsid w:val="008674FB"/>
    <w:rsid w:val="00870DE0"/>
    <w:rsid w:val="00871234"/>
    <w:rsid w:val="00871F2B"/>
    <w:rsid w:val="008745A9"/>
    <w:rsid w:val="00874983"/>
    <w:rsid w:val="00874CB4"/>
    <w:rsid w:val="0087529C"/>
    <w:rsid w:val="008757A8"/>
    <w:rsid w:val="008759BC"/>
    <w:rsid w:val="00875F68"/>
    <w:rsid w:val="008762AD"/>
    <w:rsid w:val="00877120"/>
    <w:rsid w:val="008774EC"/>
    <w:rsid w:val="00877844"/>
    <w:rsid w:val="008778BF"/>
    <w:rsid w:val="00877D99"/>
    <w:rsid w:val="00877DB6"/>
    <w:rsid w:val="00880098"/>
    <w:rsid w:val="00880A67"/>
    <w:rsid w:val="008816CD"/>
    <w:rsid w:val="008823F5"/>
    <w:rsid w:val="00882672"/>
    <w:rsid w:val="00882DF0"/>
    <w:rsid w:val="008832C2"/>
    <w:rsid w:val="00883A9D"/>
    <w:rsid w:val="008854AA"/>
    <w:rsid w:val="00886803"/>
    <w:rsid w:val="00886992"/>
    <w:rsid w:val="00886A6D"/>
    <w:rsid w:val="00886DA8"/>
    <w:rsid w:val="00886E29"/>
    <w:rsid w:val="00887523"/>
    <w:rsid w:val="008900B7"/>
    <w:rsid w:val="0089033A"/>
    <w:rsid w:val="00890342"/>
    <w:rsid w:val="008903AF"/>
    <w:rsid w:val="008906FB"/>
    <w:rsid w:val="00890814"/>
    <w:rsid w:val="00890C44"/>
    <w:rsid w:val="008912DA"/>
    <w:rsid w:val="008933EE"/>
    <w:rsid w:val="008935BE"/>
    <w:rsid w:val="0089417F"/>
    <w:rsid w:val="008949EE"/>
    <w:rsid w:val="00894C77"/>
    <w:rsid w:val="00895348"/>
    <w:rsid w:val="00895A6F"/>
    <w:rsid w:val="00895D66"/>
    <w:rsid w:val="008964D3"/>
    <w:rsid w:val="00896CC2"/>
    <w:rsid w:val="00897660"/>
    <w:rsid w:val="00897F15"/>
    <w:rsid w:val="008A0AE7"/>
    <w:rsid w:val="008A0BBA"/>
    <w:rsid w:val="008A1477"/>
    <w:rsid w:val="008A3632"/>
    <w:rsid w:val="008A393E"/>
    <w:rsid w:val="008A4065"/>
    <w:rsid w:val="008A4516"/>
    <w:rsid w:val="008A4FD9"/>
    <w:rsid w:val="008A561F"/>
    <w:rsid w:val="008A58A2"/>
    <w:rsid w:val="008A60D1"/>
    <w:rsid w:val="008A78B8"/>
    <w:rsid w:val="008B0B4F"/>
    <w:rsid w:val="008B1916"/>
    <w:rsid w:val="008B20FC"/>
    <w:rsid w:val="008B289B"/>
    <w:rsid w:val="008B2DEB"/>
    <w:rsid w:val="008B37BE"/>
    <w:rsid w:val="008B38A3"/>
    <w:rsid w:val="008B3F10"/>
    <w:rsid w:val="008B44B7"/>
    <w:rsid w:val="008B4607"/>
    <w:rsid w:val="008B4B3E"/>
    <w:rsid w:val="008B5137"/>
    <w:rsid w:val="008B58CA"/>
    <w:rsid w:val="008B6128"/>
    <w:rsid w:val="008B6186"/>
    <w:rsid w:val="008B6770"/>
    <w:rsid w:val="008B6B31"/>
    <w:rsid w:val="008B72A3"/>
    <w:rsid w:val="008C0F5F"/>
    <w:rsid w:val="008C11D3"/>
    <w:rsid w:val="008C17FC"/>
    <w:rsid w:val="008C1E10"/>
    <w:rsid w:val="008C1FB6"/>
    <w:rsid w:val="008C2B37"/>
    <w:rsid w:val="008C32CA"/>
    <w:rsid w:val="008C403B"/>
    <w:rsid w:val="008C409B"/>
    <w:rsid w:val="008C5042"/>
    <w:rsid w:val="008C571D"/>
    <w:rsid w:val="008C5858"/>
    <w:rsid w:val="008C6C17"/>
    <w:rsid w:val="008C7994"/>
    <w:rsid w:val="008D02F5"/>
    <w:rsid w:val="008D049A"/>
    <w:rsid w:val="008D1358"/>
    <w:rsid w:val="008D1B77"/>
    <w:rsid w:val="008D1D4E"/>
    <w:rsid w:val="008D2AD3"/>
    <w:rsid w:val="008D2C13"/>
    <w:rsid w:val="008D3059"/>
    <w:rsid w:val="008D3867"/>
    <w:rsid w:val="008D4042"/>
    <w:rsid w:val="008D447A"/>
    <w:rsid w:val="008D45B0"/>
    <w:rsid w:val="008D4E88"/>
    <w:rsid w:val="008D4F22"/>
    <w:rsid w:val="008D5F86"/>
    <w:rsid w:val="008D7A8D"/>
    <w:rsid w:val="008D7BE5"/>
    <w:rsid w:val="008D7DAA"/>
    <w:rsid w:val="008E018A"/>
    <w:rsid w:val="008E0CFB"/>
    <w:rsid w:val="008E1061"/>
    <w:rsid w:val="008E120D"/>
    <w:rsid w:val="008E29B2"/>
    <w:rsid w:val="008E309D"/>
    <w:rsid w:val="008E30A7"/>
    <w:rsid w:val="008E3477"/>
    <w:rsid w:val="008E36A4"/>
    <w:rsid w:val="008E3B0B"/>
    <w:rsid w:val="008E3B0D"/>
    <w:rsid w:val="008E539F"/>
    <w:rsid w:val="008E5D86"/>
    <w:rsid w:val="008E6425"/>
    <w:rsid w:val="008E6A4F"/>
    <w:rsid w:val="008E6ACE"/>
    <w:rsid w:val="008E6CA5"/>
    <w:rsid w:val="008F0B22"/>
    <w:rsid w:val="008F1939"/>
    <w:rsid w:val="008F1F82"/>
    <w:rsid w:val="008F265D"/>
    <w:rsid w:val="008F2860"/>
    <w:rsid w:val="008F2904"/>
    <w:rsid w:val="008F48A4"/>
    <w:rsid w:val="008F50DC"/>
    <w:rsid w:val="008F6741"/>
    <w:rsid w:val="008F6949"/>
    <w:rsid w:val="008F700E"/>
    <w:rsid w:val="008F7734"/>
    <w:rsid w:val="0090042B"/>
    <w:rsid w:val="00900B46"/>
    <w:rsid w:val="0090115A"/>
    <w:rsid w:val="00901244"/>
    <w:rsid w:val="00901446"/>
    <w:rsid w:val="00901913"/>
    <w:rsid w:val="00902015"/>
    <w:rsid w:val="0090316C"/>
    <w:rsid w:val="00903ACB"/>
    <w:rsid w:val="0090427B"/>
    <w:rsid w:val="00906889"/>
    <w:rsid w:val="00906AF3"/>
    <w:rsid w:val="009073E8"/>
    <w:rsid w:val="009077D1"/>
    <w:rsid w:val="00910170"/>
    <w:rsid w:val="009102FA"/>
    <w:rsid w:val="00910FF4"/>
    <w:rsid w:val="00911441"/>
    <w:rsid w:val="00911555"/>
    <w:rsid w:val="00911587"/>
    <w:rsid w:val="00911941"/>
    <w:rsid w:val="00911F85"/>
    <w:rsid w:val="00912D4A"/>
    <w:rsid w:val="009133DC"/>
    <w:rsid w:val="00913B03"/>
    <w:rsid w:val="00913E5A"/>
    <w:rsid w:val="00913F84"/>
    <w:rsid w:val="009142D6"/>
    <w:rsid w:val="009144E8"/>
    <w:rsid w:val="009149F2"/>
    <w:rsid w:val="0091597C"/>
    <w:rsid w:val="00916C08"/>
    <w:rsid w:val="00916C70"/>
    <w:rsid w:val="00916C8C"/>
    <w:rsid w:val="00917077"/>
    <w:rsid w:val="009171A9"/>
    <w:rsid w:val="00917305"/>
    <w:rsid w:val="009205B6"/>
    <w:rsid w:val="00920656"/>
    <w:rsid w:val="009206DF"/>
    <w:rsid w:val="00920825"/>
    <w:rsid w:val="0092144E"/>
    <w:rsid w:val="00921690"/>
    <w:rsid w:val="009218E8"/>
    <w:rsid w:val="009226BB"/>
    <w:rsid w:val="009226D6"/>
    <w:rsid w:val="009237B6"/>
    <w:rsid w:val="00923C4B"/>
    <w:rsid w:val="00924ECE"/>
    <w:rsid w:val="0092576D"/>
    <w:rsid w:val="009264EA"/>
    <w:rsid w:val="0092654D"/>
    <w:rsid w:val="00926844"/>
    <w:rsid w:val="00926DE2"/>
    <w:rsid w:val="00927498"/>
    <w:rsid w:val="0092752B"/>
    <w:rsid w:val="00927B20"/>
    <w:rsid w:val="009309DD"/>
    <w:rsid w:val="00930BD2"/>
    <w:rsid w:val="009323FE"/>
    <w:rsid w:val="0093242C"/>
    <w:rsid w:val="00932D60"/>
    <w:rsid w:val="00932F51"/>
    <w:rsid w:val="00933C0F"/>
    <w:rsid w:val="00933E3B"/>
    <w:rsid w:val="00934B8C"/>
    <w:rsid w:val="00934C66"/>
    <w:rsid w:val="00934D22"/>
    <w:rsid w:val="009351EA"/>
    <w:rsid w:val="0093537C"/>
    <w:rsid w:val="0093552E"/>
    <w:rsid w:val="00935AC4"/>
    <w:rsid w:val="00936739"/>
    <w:rsid w:val="00937E74"/>
    <w:rsid w:val="0094115C"/>
    <w:rsid w:val="00941B80"/>
    <w:rsid w:val="00942557"/>
    <w:rsid w:val="009439BD"/>
    <w:rsid w:val="00943AEF"/>
    <w:rsid w:val="0094432E"/>
    <w:rsid w:val="00944B41"/>
    <w:rsid w:val="00945C77"/>
    <w:rsid w:val="00946232"/>
    <w:rsid w:val="009466E3"/>
    <w:rsid w:val="009467AF"/>
    <w:rsid w:val="00946BA6"/>
    <w:rsid w:val="00947E56"/>
    <w:rsid w:val="009514EC"/>
    <w:rsid w:val="009523A3"/>
    <w:rsid w:val="0095415A"/>
    <w:rsid w:val="009552FF"/>
    <w:rsid w:val="009556D7"/>
    <w:rsid w:val="00956139"/>
    <w:rsid w:val="00956DA2"/>
    <w:rsid w:val="0095763A"/>
    <w:rsid w:val="009600E0"/>
    <w:rsid w:val="00960307"/>
    <w:rsid w:val="009605AA"/>
    <w:rsid w:val="00960A92"/>
    <w:rsid w:val="00960B6D"/>
    <w:rsid w:val="009612C8"/>
    <w:rsid w:val="009613D3"/>
    <w:rsid w:val="00962E2E"/>
    <w:rsid w:val="009647DF"/>
    <w:rsid w:val="00964A31"/>
    <w:rsid w:val="00964F28"/>
    <w:rsid w:val="00965AC2"/>
    <w:rsid w:val="009664A2"/>
    <w:rsid w:val="00966A66"/>
    <w:rsid w:val="00966A67"/>
    <w:rsid w:val="00967F99"/>
    <w:rsid w:val="0097027D"/>
    <w:rsid w:val="00970D1E"/>
    <w:rsid w:val="00971305"/>
    <w:rsid w:val="0097201D"/>
    <w:rsid w:val="009720E2"/>
    <w:rsid w:val="00972A82"/>
    <w:rsid w:val="00974EE9"/>
    <w:rsid w:val="00974F17"/>
    <w:rsid w:val="009750CE"/>
    <w:rsid w:val="00975E29"/>
    <w:rsid w:val="0097611A"/>
    <w:rsid w:val="00976427"/>
    <w:rsid w:val="00976F2B"/>
    <w:rsid w:val="00977101"/>
    <w:rsid w:val="009773D6"/>
    <w:rsid w:val="00977AC3"/>
    <w:rsid w:val="0098023F"/>
    <w:rsid w:val="009809ED"/>
    <w:rsid w:val="00980ADD"/>
    <w:rsid w:val="009811DB"/>
    <w:rsid w:val="009815E2"/>
    <w:rsid w:val="00981AEE"/>
    <w:rsid w:val="00981D22"/>
    <w:rsid w:val="00982900"/>
    <w:rsid w:val="00983A55"/>
    <w:rsid w:val="00984832"/>
    <w:rsid w:val="0098736F"/>
    <w:rsid w:val="0098738B"/>
    <w:rsid w:val="009879BB"/>
    <w:rsid w:val="00990809"/>
    <w:rsid w:val="00990933"/>
    <w:rsid w:val="00990E92"/>
    <w:rsid w:val="0099108B"/>
    <w:rsid w:val="009911FF"/>
    <w:rsid w:val="00991378"/>
    <w:rsid w:val="00992D0D"/>
    <w:rsid w:val="009934FC"/>
    <w:rsid w:val="00993912"/>
    <w:rsid w:val="00994A45"/>
    <w:rsid w:val="009958D5"/>
    <w:rsid w:val="009959C7"/>
    <w:rsid w:val="00996248"/>
    <w:rsid w:val="00996311"/>
    <w:rsid w:val="0099636D"/>
    <w:rsid w:val="00996E7C"/>
    <w:rsid w:val="00997353"/>
    <w:rsid w:val="0099763B"/>
    <w:rsid w:val="00997FEB"/>
    <w:rsid w:val="009A13F1"/>
    <w:rsid w:val="009A1928"/>
    <w:rsid w:val="009A1E6E"/>
    <w:rsid w:val="009A2174"/>
    <w:rsid w:val="009A3538"/>
    <w:rsid w:val="009A4C8D"/>
    <w:rsid w:val="009A51E1"/>
    <w:rsid w:val="009A57A5"/>
    <w:rsid w:val="009A7351"/>
    <w:rsid w:val="009A7372"/>
    <w:rsid w:val="009A7CE0"/>
    <w:rsid w:val="009A7D4E"/>
    <w:rsid w:val="009B026B"/>
    <w:rsid w:val="009B02BE"/>
    <w:rsid w:val="009B033E"/>
    <w:rsid w:val="009B0416"/>
    <w:rsid w:val="009B1175"/>
    <w:rsid w:val="009B1190"/>
    <w:rsid w:val="009B1844"/>
    <w:rsid w:val="009B1B1B"/>
    <w:rsid w:val="009B1D08"/>
    <w:rsid w:val="009B2572"/>
    <w:rsid w:val="009B27A9"/>
    <w:rsid w:val="009B30D4"/>
    <w:rsid w:val="009B33F1"/>
    <w:rsid w:val="009B3B35"/>
    <w:rsid w:val="009B42E9"/>
    <w:rsid w:val="009B454D"/>
    <w:rsid w:val="009B4DFE"/>
    <w:rsid w:val="009B5B68"/>
    <w:rsid w:val="009B5E2D"/>
    <w:rsid w:val="009B75C2"/>
    <w:rsid w:val="009B7794"/>
    <w:rsid w:val="009B77BE"/>
    <w:rsid w:val="009B79A5"/>
    <w:rsid w:val="009B7F4C"/>
    <w:rsid w:val="009C0714"/>
    <w:rsid w:val="009C253C"/>
    <w:rsid w:val="009C2EE4"/>
    <w:rsid w:val="009C4BE2"/>
    <w:rsid w:val="009C4EBA"/>
    <w:rsid w:val="009C508D"/>
    <w:rsid w:val="009C5222"/>
    <w:rsid w:val="009C550E"/>
    <w:rsid w:val="009C553D"/>
    <w:rsid w:val="009C6E9B"/>
    <w:rsid w:val="009C70D1"/>
    <w:rsid w:val="009C7EBC"/>
    <w:rsid w:val="009D06A9"/>
    <w:rsid w:val="009D09DE"/>
    <w:rsid w:val="009D165C"/>
    <w:rsid w:val="009D1D9F"/>
    <w:rsid w:val="009D21A3"/>
    <w:rsid w:val="009D21EE"/>
    <w:rsid w:val="009D4141"/>
    <w:rsid w:val="009D42BA"/>
    <w:rsid w:val="009D4622"/>
    <w:rsid w:val="009D4814"/>
    <w:rsid w:val="009D4F29"/>
    <w:rsid w:val="009D4F97"/>
    <w:rsid w:val="009D5907"/>
    <w:rsid w:val="009D5E19"/>
    <w:rsid w:val="009D66F4"/>
    <w:rsid w:val="009E043D"/>
    <w:rsid w:val="009E137D"/>
    <w:rsid w:val="009E1A07"/>
    <w:rsid w:val="009E1E1A"/>
    <w:rsid w:val="009E1F0B"/>
    <w:rsid w:val="009E2643"/>
    <w:rsid w:val="009E3025"/>
    <w:rsid w:val="009E381A"/>
    <w:rsid w:val="009E3DD3"/>
    <w:rsid w:val="009E47FA"/>
    <w:rsid w:val="009E4C28"/>
    <w:rsid w:val="009E53CE"/>
    <w:rsid w:val="009E65BF"/>
    <w:rsid w:val="009E6A58"/>
    <w:rsid w:val="009E6F55"/>
    <w:rsid w:val="009E7109"/>
    <w:rsid w:val="009E7460"/>
    <w:rsid w:val="009E7994"/>
    <w:rsid w:val="009F058F"/>
    <w:rsid w:val="009F14A1"/>
    <w:rsid w:val="009F1565"/>
    <w:rsid w:val="009F418E"/>
    <w:rsid w:val="009F47F0"/>
    <w:rsid w:val="009F53D8"/>
    <w:rsid w:val="009F59F4"/>
    <w:rsid w:val="009F5EEA"/>
    <w:rsid w:val="009F636A"/>
    <w:rsid w:val="009F6515"/>
    <w:rsid w:val="009F6F9D"/>
    <w:rsid w:val="009F7966"/>
    <w:rsid w:val="00A002EB"/>
    <w:rsid w:val="00A00D59"/>
    <w:rsid w:val="00A0159D"/>
    <w:rsid w:val="00A0210C"/>
    <w:rsid w:val="00A02E6D"/>
    <w:rsid w:val="00A03016"/>
    <w:rsid w:val="00A030BB"/>
    <w:rsid w:val="00A03C76"/>
    <w:rsid w:val="00A0460A"/>
    <w:rsid w:val="00A04B53"/>
    <w:rsid w:val="00A04C0E"/>
    <w:rsid w:val="00A071A8"/>
    <w:rsid w:val="00A104F0"/>
    <w:rsid w:val="00A105A6"/>
    <w:rsid w:val="00A1068F"/>
    <w:rsid w:val="00A11EB5"/>
    <w:rsid w:val="00A126A0"/>
    <w:rsid w:val="00A1286B"/>
    <w:rsid w:val="00A13FED"/>
    <w:rsid w:val="00A1448B"/>
    <w:rsid w:val="00A1485B"/>
    <w:rsid w:val="00A14DE1"/>
    <w:rsid w:val="00A16EA5"/>
    <w:rsid w:val="00A174EB"/>
    <w:rsid w:val="00A17A39"/>
    <w:rsid w:val="00A20731"/>
    <w:rsid w:val="00A21784"/>
    <w:rsid w:val="00A21CFE"/>
    <w:rsid w:val="00A234EC"/>
    <w:rsid w:val="00A23600"/>
    <w:rsid w:val="00A23A3E"/>
    <w:rsid w:val="00A23A65"/>
    <w:rsid w:val="00A23B1C"/>
    <w:rsid w:val="00A23F0A"/>
    <w:rsid w:val="00A24A12"/>
    <w:rsid w:val="00A25320"/>
    <w:rsid w:val="00A26652"/>
    <w:rsid w:val="00A26C9B"/>
    <w:rsid w:val="00A26E16"/>
    <w:rsid w:val="00A26F5F"/>
    <w:rsid w:val="00A27842"/>
    <w:rsid w:val="00A31D6E"/>
    <w:rsid w:val="00A324DD"/>
    <w:rsid w:val="00A32DCA"/>
    <w:rsid w:val="00A3307E"/>
    <w:rsid w:val="00A3316C"/>
    <w:rsid w:val="00A3350A"/>
    <w:rsid w:val="00A34D85"/>
    <w:rsid w:val="00A351B1"/>
    <w:rsid w:val="00A3658B"/>
    <w:rsid w:val="00A3658C"/>
    <w:rsid w:val="00A37040"/>
    <w:rsid w:val="00A37589"/>
    <w:rsid w:val="00A37861"/>
    <w:rsid w:val="00A37F7D"/>
    <w:rsid w:val="00A40860"/>
    <w:rsid w:val="00A425C2"/>
    <w:rsid w:val="00A42605"/>
    <w:rsid w:val="00A43042"/>
    <w:rsid w:val="00A432DC"/>
    <w:rsid w:val="00A448EE"/>
    <w:rsid w:val="00A44927"/>
    <w:rsid w:val="00A45A04"/>
    <w:rsid w:val="00A467A9"/>
    <w:rsid w:val="00A47179"/>
    <w:rsid w:val="00A477F3"/>
    <w:rsid w:val="00A47E1D"/>
    <w:rsid w:val="00A50180"/>
    <w:rsid w:val="00A50213"/>
    <w:rsid w:val="00A50E5F"/>
    <w:rsid w:val="00A51784"/>
    <w:rsid w:val="00A51EFC"/>
    <w:rsid w:val="00A51FA1"/>
    <w:rsid w:val="00A527C4"/>
    <w:rsid w:val="00A52891"/>
    <w:rsid w:val="00A532A1"/>
    <w:rsid w:val="00A53B47"/>
    <w:rsid w:val="00A53C19"/>
    <w:rsid w:val="00A53F45"/>
    <w:rsid w:val="00A54105"/>
    <w:rsid w:val="00A54567"/>
    <w:rsid w:val="00A547EA"/>
    <w:rsid w:val="00A559AE"/>
    <w:rsid w:val="00A55C0E"/>
    <w:rsid w:val="00A55E02"/>
    <w:rsid w:val="00A56483"/>
    <w:rsid w:val="00A56741"/>
    <w:rsid w:val="00A56AAF"/>
    <w:rsid w:val="00A5710F"/>
    <w:rsid w:val="00A5748F"/>
    <w:rsid w:val="00A575E1"/>
    <w:rsid w:val="00A576BC"/>
    <w:rsid w:val="00A601D8"/>
    <w:rsid w:val="00A61BAE"/>
    <w:rsid w:val="00A62019"/>
    <w:rsid w:val="00A63160"/>
    <w:rsid w:val="00A64247"/>
    <w:rsid w:val="00A6438B"/>
    <w:rsid w:val="00A643AF"/>
    <w:rsid w:val="00A644E0"/>
    <w:rsid w:val="00A6469E"/>
    <w:rsid w:val="00A64713"/>
    <w:rsid w:val="00A64814"/>
    <w:rsid w:val="00A64847"/>
    <w:rsid w:val="00A64AE9"/>
    <w:rsid w:val="00A65014"/>
    <w:rsid w:val="00A6511E"/>
    <w:rsid w:val="00A65576"/>
    <w:rsid w:val="00A656A2"/>
    <w:rsid w:val="00A65ACC"/>
    <w:rsid w:val="00A65DDA"/>
    <w:rsid w:val="00A66B07"/>
    <w:rsid w:val="00A67A3C"/>
    <w:rsid w:val="00A67AD6"/>
    <w:rsid w:val="00A67E61"/>
    <w:rsid w:val="00A70010"/>
    <w:rsid w:val="00A7067E"/>
    <w:rsid w:val="00A70C83"/>
    <w:rsid w:val="00A71DF8"/>
    <w:rsid w:val="00A71F60"/>
    <w:rsid w:val="00A723C0"/>
    <w:rsid w:val="00A728D7"/>
    <w:rsid w:val="00A732ED"/>
    <w:rsid w:val="00A73528"/>
    <w:rsid w:val="00A74051"/>
    <w:rsid w:val="00A7419A"/>
    <w:rsid w:val="00A754F6"/>
    <w:rsid w:val="00A75E0C"/>
    <w:rsid w:val="00A768E2"/>
    <w:rsid w:val="00A77D9C"/>
    <w:rsid w:val="00A77E44"/>
    <w:rsid w:val="00A80B2E"/>
    <w:rsid w:val="00A811E9"/>
    <w:rsid w:val="00A8125F"/>
    <w:rsid w:val="00A81F07"/>
    <w:rsid w:val="00A82435"/>
    <w:rsid w:val="00A826D1"/>
    <w:rsid w:val="00A82DAE"/>
    <w:rsid w:val="00A83700"/>
    <w:rsid w:val="00A83D87"/>
    <w:rsid w:val="00A84335"/>
    <w:rsid w:val="00A84BEA"/>
    <w:rsid w:val="00A850DC"/>
    <w:rsid w:val="00A8526A"/>
    <w:rsid w:val="00A85C8F"/>
    <w:rsid w:val="00A86647"/>
    <w:rsid w:val="00A866CC"/>
    <w:rsid w:val="00A904E5"/>
    <w:rsid w:val="00A912D1"/>
    <w:rsid w:val="00A91B82"/>
    <w:rsid w:val="00A92712"/>
    <w:rsid w:val="00A93318"/>
    <w:rsid w:val="00A940FF"/>
    <w:rsid w:val="00A94145"/>
    <w:rsid w:val="00A94374"/>
    <w:rsid w:val="00A94A1C"/>
    <w:rsid w:val="00A94EFD"/>
    <w:rsid w:val="00A956C2"/>
    <w:rsid w:val="00A962A9"/>
    <w:rsid w:val="00A9658D"/>
    <w:rsid w:val="00A96EC9"/>
    <w:rsid w:val="00A97EE7"/>
    <w:rsid w:val="00AA04DF"/>
    <w:rsid w:val="00AA11A3"/>
    <w:rsid w:val="00AA19E8"/>
    <w:rsid w:val="00AA1D34"/>
    <w:rsid w:val="00AA1E1F"/>
    <w:rsid w:val="00AA2CCF"/>
    <w:rsid w:val="00AA3614"/>
    <w:rsid w:val="00AA370F"/>
    <w:rsid w:val="00AA45D5"/>
    <w:rsid w:val="00AA5BE0"/>
    <w:rsid w:val="00AA66CC"/>
    <w:rsid w:val="00AA6A63"/>
    <w:rsid w:val="00AA79C8"/>
    <w:rsid w:val="00AA7B59"/>
    <w:rsid w:val="00AA7B7D"/>
    <w:rsid w:val="00AB06EB"/>
    <w:rsid w:val="00AB0E3B"/>
    <w:rsid w:val="00AB102A"/>
    <w:rsid w:val="00AB20C2"/>
    <w:rsid w:val="00AB2EDD"/>
    <w:rsid w:val="00AB44CD"/>
    <w:rsid w:val="00AB5995"/>
    <w:rsid w:val="00AB65F6"/>
    <w:rsid w:val="00AB6632"/>
    <w:rsid w:val="00AB68DD"/>
    <w:rsid w:val="00AB7376"/>
    <w:rsid w:val="00AB76EF"/>
    <w:rsid w:val="00AB7B13"/>
    <w:rsid w:val="00AB7C20"/>
    <w:rsid w:val="00AB7E53"/>
    <w:rsid w:val="00AC10BA"/>
    <w:rsid w:val="00AC14E0"/>
    <w:rsid w:val="00AC309E"/>
    <w:rsid w:val="00AC35F4"/>
    <w:rsid w:val="00AC3E30"/>
    <w:rsid w:val="00AC4710"/>
    <w:rsid w:val="00AC4C8B"/>
    <w:rsid w:val="00AC5310"/>
    <w:rsid w:val="00AC54E1"/>
    <w:rsid w:val="00AC6DDB"/>
    <w:rsid w:val="00AC7076"/>
    <w:rsid w:val="00AC7304"/>
    <w:rsid w:val="00AC73F4"/>
    <w:rsid w:val="00AC787E"/>
    <w:rsid w:val="00AC7CBB"/>
    <w:rsid w:val="00AC7E0A"/>
    <w:rsid w:val="00AD065E"/>
    <w:rsid w:val="00AD067C"/>
    <w:rsid w:val="00AD0820"/>
    <w:rsid w:val="00AD1206"/>
    <w:rsid w:val="00AD14A5"/>
    <w:rsid w:val="00AD15D9"/>
    <w:rsid w:val="00AD1701"/>
    <w:rsid w:val="00AD221D"/>
    <w:rsid w:val="00AD277C"/>
    <w:rsid w:val="00AD28EF"/>
    <w:rsid w:val="00AD2EE8"/>
    <w:rsid w:val="00AD3A98"/>
    <w:rsid w:val="00AD429D"/>
    <w:rsid w:val="00AD47F8"/>
    <w:rsid w:val="00AD4AFF"/>
    <w:rsid w:val="00AD596B"/>
    <w:rsid w:val="00AD59CB"/>
    <w:rsid w:val="00AD6B79"/>
    <w:rsid w:val="00AD741B"/>
    <w:rsid w:val="00AD74B8"/>
    <w:rsid w:val="00AD7B3D"/>
    <w:rsid w:val="00AE00DC"/>
    <w:rsid w:val="00AE013D"/>
    <w:rsid w:val="00AE01C9"/>
    <w:rsid w:val="00AE0BD5"/>
    <w:rsid w:val="00AE0D38"/>
    <w:rsid w:val="00AE13D8"/>
    <w:rsid w:val="00AE2758"/>
    <w:rsid w:val="00AE2C36"/>
    <w:rsid w:val="00AE33EC"/>
    <w:rsid w:val="00AE403C"/>
    <w:rsid w:val="00AE4484"/>
    <w:rsid w:val="00AE4519"/>
    <w:rsid w:val="00AE5B00"/>
    <w:rsid w:val="00AE5CFF"/>
    <w:rsid w:val="00AE6BF2"/>
    <w:rsid w:val="00AE79F9"/>
    <w:rsid w:val="00AF045F"/>
    <w:rsid w:val="00AF1305"/>
    <w:rsid w:val="00AF1D57"/>
    <w:rsid w:val="00AF1FC5"/>
    <w:rsid w:val="00AF2169"/>
    <w:rsid w:val="00AF3ECD"/>
    <w:rsid w:val="00AF4557"/>
    <w:rsid w:val="00AF57DB"/>
    <w:rsid w:val="00AF6478"/>
    <w:rsid w:val="00AF6872"/>
    <w:rsid w:val="00AF6E6B"/>
    <w:rsid w:val="00AF7BE2"/>
    <w:rsid w:val="00AF7E09"/>
    <w:rsid w:val="00B00184"/>
    <w:rsid w:val="00B01AAD"/>
    <w:rsid w:val="00B01F4A"/>
    <w:rsid w:val="00B02428"/>
    <w:rsid w:val="00B0471D"/>
    <w:rsid w:val="00B0493D"/>
    <w:rsid w:val="00B04DBC"/>
    <w:rsid w:val="00B050A7"/>
    <w:rsid w:val="00B05486"/>
    <w:rsid w:val="00B0716E"/>
    <w:rsid w:val="00B07C9E"/>
    <w:rsid w:val="00B07D70"/>
    <w:rsid w:val="00B07F34"/>
    <w:rsid w:val="00B1037E"/>
    <w:rsid w:val="00B1085E"/>
    <w:rsid w:val="00B10D6A"/>
    <w:rsid w:val="00B1224E"/>
    <w:rsid w:val="00B12870"/>
    <w:rsid w:val="00B134B7"/>
    <w:rsid w:val="00B13B7C"/>
    <w:rsid w:val="00B13BB2"/>
    <w:rsid w:val="00B13E56"/>
    <w:rsid w:val="00B14181"/>
    <w:rsid w:val="00B15498"/>
    <w:rsid w:val="00B15A2F"/>
    <w:rsid w:val="00B15E28"/>
    <w:rsid w:val="00B16A9A"/>
    <w:rsid w:val="00B16DE7"/>
    <w:rsid w:val="00B17227"/>
    <w:rsid w:val="00B20676"/>
    <w:rsid w:val="00B206BA"/>
    <w:rsid w:val="00B2113A"/>
    <w:rsid w:val="00B218BB"/>
    <w:rsid w:val="00B21B19"/>
    <w:rsid w:val="00B2396C"/>
    <w:rsid w:val="00B24FA8"/>
    <w:rsid w:val="00B25AB9"/>
    <w:rsid w:val="00B25BB4"/>
    <w:rsid w:val="00B26896"/>
    <w:rsid w:val="00B26E99"/>
    <w:rsid w:val="00B30D8F"/>
    <w:rsid w:val="00B31541"/>
    <w:rsid w:val="00B3236B"/>
    <w:rsid w:val="00B32499"/>
    <w:rsid w:val="00B3328F"/>
    <w:rsid w:val="00B33BAF"/>
    <w:rsid w:val="00B34312"/>
    <w:rsid w:val="00B34ABF"/>
    <w:rsid w:val="00B34C4F"/>
    <w:rsid w:val="00B34E71"/>
    <w:rsid w:val="00B3586A"/>
    <w:rsid w:val="00B359D2"/>
    <w:rsid w:val="00B363A8"/>
    <w:rsid w:val="00B36630"/>
    <w:rsid w:val="00B36AE8"/>
    <w:rsid w:val="00B374A7"/>
    <w:rsid w:val="00B376B4"/>
    <w:rsid w:val="00B37867"/>
    <w:rsid w:val="00B379F0"/>
    <w:rsid w:val="00B37E30"/>
    <w:rsid w:val="00B40030"/>
    <w:rsid w:val="00B4016F"/>
    <w:rsid w:val="00B40E48"/>
    <w:rsid w:val="00B415B1"/>
    <w:rsid w:val="00B41CA7"/>
    <w:rsid w:val="00B42D22"/>
    <w:rsid w:val="00B430B4"/>
    <w:rsid w:val="00B433EA"/>
    <w:rsid w:val="00B435A8"/>
    <w:rsid w:val="00B438CB"/>
    <w:rsid w:val="00B43A7C"/>
    <w:rsid w:val="00B44D0F"/>
    <w:rsid w:val="00B45A06"/>
    <w:rsid w:val="00B46442"/>
    <w:rsid w:val="00B5022B"/>
    <w:rsid w:val="00B50B01"/>
    <w:rsid w:val="00B5233B"/>
    <w:rsid w:val="00B523AD"/>
    <w:rsid w:val="00B5285C"/>
    <w:rsid w:val="00B53035"/>
    <w:rsid w:val="00B53ACE"/>
    <w:rsid w:val="00B54F8E"/>
    <w:rsid w:val="00B56670"/>
    <w:rsid w:val="00B56D81"/>
    <w:rsid w:val="00B57272"/>
    <w:rsid w:val="00B576AB"/>
    <w:rsid w:val="00B578D1"/>
    <w:rsid w:val="00B578FD"/>
    <w:rsid w:val="00B60562"/>
    <w:rsid w:val="00B60A92"/>
    <w:rsid w:val="00B60C51"/>
    <w:rsid w:val="00B61379"/>
    <w:rsid w:val="00B61615"/>
    <w:rsid w:val="00B62E91"/>
    <w:rsid w:val="00B62F9F"/>
    <w:rsid w:val="00B63062"/>
    <w:rsid w:val="00B63DC2"/>
    <w:rsid w:val="00B6499A"/>
    <w:rsid w:val="00B64E39"/>
    <w:rsid w:val="00B65163"/>
    <w:rsid w:val="00B66145"/>
    <w:rsid w:val="00B66B72"/>
    <w:rsid w:val="00B66F19"/>
    <w:rsid w:val="00B67395"/>
    <w:rsid w:val="00B67588"/>
    <w:rsid w:val="00B67F09"/>
    <w:rsid w:val="00B7108A"/>
    <w:rsid w:val="00B717A7"/>
    <w:rsid w:val="00B717F2"/>
    <w:rsid w:val="00B71997"/>
    <w:rsid w:val="00B71B4E"/>
    <w:rsid w:val="00B72CCA"/>
    <w:rsid w:val="00B72F64"/>
    <w:rsid w:val="00B748C9"/>
    <w:rsid w:val="00B755C3"/>
    <w:rsid w:val="00B755CA"/>
    <w:rsid w:val="00B76C0F"/>
    <w:rsid w:val="00B76CA1"/>
    <w:rsid w:val="00B76EEE"/>
    <w:rsid w:val="00B77BCC"/>
    <w:rsid w:val="00B81258"/>
    <w:rsid w:val="00B8185F"/>
    <w:rsid w:val="00B82F96"/>
    <w:rsid w:val="00B83046"/>
    <w:rsid w:val="00B836D2"/>
    <w:rsid w:val="00B84EC9"/>
    <w:rsid w:val="00B855C4"/>
    <w:rsid w:val="00B858B1"/>
    <w:rsid w:val="00B86D71"/>
    <w:rsid w:val="00B91EF2"/>
    <w:rsid w:val="00B92A58"/>
    <w:rsid w:val="00B93B1A"/>
    <w:rsid w:val="00B93E27"/>
    <w:rsid w:val="00B94148"/>
    <w:rsid w:val="00B952C3"/>
    <w:rsid w:val="00B9574E"/>
    <w:rsid w:val="00B96925"/>
    <w:rsid w:val="00B97DB7"/>
    <w:rsid w:val="00B97FDB"/>
    <w:rsid w:val="00BA135B"/>
    <w:rsid w:val="00BA1907"/>
    <w:rsid w:val="00BA30B3"/>
    <w:rsid w:val="00BA3C2B"/>
    <w:rsid w:val="00BA40F3"/>
    <w:rsid w:val="00BA4218"/>
    <w:rsid w:val="00BA445A"/>
    <w:rsid w:val="00BA4A8F"/>
    <w:rsid w:val="00BA50A9"/>
    <w:rsid w:val="00BA52E1"/>
    <w:rsid w:val="00BA6200"/>
    <w:rsid w:val="00BA76C2"/>
    <w:rsid w:val="00BA799D"/>
    <w:rsid w:val="00BB1930"/>
    <w:rsid w:val="00BB2CB7"/>
    <w:rsid w:val="00BB2EB7"/>
    <w:rsid w:val="00BB3194"/>
    <w:rsid w:val="00BB323C"/>
    <w:rsid w:val="00BB3B68"/>
    <w:rsid w:val="00BB411C"/>
    <w:rsid w:val="00BB46A3"/>
    <w:rsid w:val="00BB4ECE"/>
    <w:rsid w:val="00BB576A"/>
    <w:rsid w:val="00BB6032"/>
    <w:rsid w:val="00BB6C57"/>
    <w:rsid w:val="00BB6D2F"/>
    <w:rsid w:val="00BB7D27"/>
    <w:rsid w:val="00BC07C1"/>
    <w:rsid w:val="00BC1CC1"/>
    <w:rsid w:val="00BC25DD"/>
    <w:rsid w:val="00BC2BED"/>
    <w:rsid w:val="00BC3B4C"/>
    <w:rsid w:val="00BC4502"/>
    <w:rsid w:val="00BC4605"/>
    <w:rsid w:val="00BC5365"/>
    <w:rsid w:val="00BC5736"/>
    <w:rsid w:val="00BC589D"/>
    <w:rsid w:val="00BC5B71"/>
    <w:rsid w:val="00BC5DE9"/>
    <w:rsid w:val="00BC63D7"/>
    <w:rsid w:val="00BC6CE0"/>
    <w:rsid w:val="00BC6D14"/>
    <w:rsid w:val="00BC6F31"/>
    <w:rsid w:val="00BC7165"/>
    <w:rsid w:val="00BD0A33"/>
    <w:rsid w:val="00BD1079"/>
    <w:rsid w:val="00BD1328"/>
    <w:rsid w:val="00BD2298"/>
    <w:rsid w:val="00BD2C3B"/>
    <w:rsid w:val="00BD2F81"/>
    <w:rsid w:val="00BD2FBE"/>
    <w:rsid w:val="00BD3605"/>
    <w:rsid w:val="00BD3D9D"/>
    <w:rsid w:val="00BD444C"/>
    <w:rsid w:val="00BD4956"/>
    <w:rsid w:val="00BD4B5E"/>
    <w:rsid w:val="00BD5D1C"/>
    <w:rsid w:val="00BD6062"/>
    <w:rsid w:val="00BD6858"/>
    <w:rsid w:val="00BD6AEA"/>
    <w:rsid w:val="00BD7C9D"/>
    <w:rsid w:val="00BE026C"/>
    <w:rsid w:val="00BE0A2F"/>
    <w:rsid w:val="00BE15F9"/>
    <w:rsid w:val="00BE2771"/>
    <w:rsid w:val="00BE4BB5"/>
    <w:rsid w:val="00BE552B"/>
    <w:rsid w:val="00BE5E54"/>
    <w:rsid w:val="00BE609A"/>
    <w:rsid w:val="00BE65F4"/>
    <w:rsid w:val="00BE7010"/>
    <w:rsid w:val="00BE7163"/>
    <w:rsid w:val="00BE71A3"/>
    <w:rsid w:val="00BE7365"/>
    <w:rsid w:val="00BE7D73"/>
    <w:rsid w:val="00BE7E0C"/>
    <w:rsid w:val="00BF005B"/>
    <w:rsid w:val="00BF05FD"/>
    <w:rsid w:val="00BF16DC"/>
    <w:rsid w:val="00BF2427"/>
    <w:rsid w:val="00BF3A73"/>
    <w:rsid w:val="00BF3C32"/>
    <w:rsid w:val="00BF4FC8"/>
    <w:rsid w:val="00BF5B5C"/>
    <w:rsid w:val="00C005CC"/>
    <w:rsid w:val="00C00892"/>
    <w:rsid w:val="00C00B5E"/>
    <w:rsid w:val="00C017AC"/>
    <w:rsid w:val="00C01990"/>
    <w:rsid w:val="00C01AD4"/>
    <w:rsid w:val="00C01CC4"/>
    <w:rsid w:val="00C0242B"/>
    <w:rsid w:val="00C02B38"/>
    <w:rsid w:val="00C03459"/>
    <w:rsid w:val="00C03AC1"/>
    <w:rsid w:val="00C03D84"/>
    <w:rsid w:val="00C04532"/>
    <w:rsid w:val="00C04C63"/>
    <w:rsid w:val="00C051BB"/>
    <w:rsid w:val="00C0536D"/>
    <w:rsid w:val="00C06014"/>
    <w:rsid w:val="00C06685"/>
    <w:rsid w:val="00C0699B"/>
    <w:rsid w:val="00C0734F"/>
    <w:rsid w:val="00C0780C"/>
    <w:rsid w:val="00C10B63"/>
    <w:rsid w:val="00C10EEF"/>
    <w:rsid w:val="00C11370"/>
    <w:rsid w:val="00C11653"/>
    <w:rsid w:val="00C11906"/>
    <w:rsid w:val="00C12E7C"/>
    <w:rsid w:val="00C135C6"/>
    <w:rsid w:val="00C13933"/>
    <w:rsid w:val="00C13CA6"/>
    <w:rsid w:val="00C1449B"/>
    <w:rsid w:val="00C1466E"/>
    <w:rsid w:val="00C15945"/>
    <w:rsid w:val="00C15FA2"/>
    <w:rsid w:val="00C16058"/>
    <w:rsid w:val="00C16570"/>
    <w:rsid w:val="00C1696C"/>
    <w:rsid w:val="00C16987"/>
    <w:rsid w:val="00C16AC3"/>
    <w:rsid w:val="00C1776F"/>
    <w:rsid w:val="00C20A6B"/>
    <w:rsid w:val="00C22D5B"/>
    <w:rsid w:val="00C22E94"/>
    <w:rsid w:val="00C23ABD"/>
    <w:rsid w:val="00C23E61"/>
    <w:rsid w:val="00C23E99"/>
    <w:rsid w:val="00C24099"/>
    <w:rsid w:val="00C25042"/>
    <w:rsid w:val="00C257D4"/>
    <w:rsid w:val="00C26644"/>
    <w:rsid w:val="00C2670A"/>
    <w:rsid w:val="00C268EC"/>
    <w:rsid w:val="00C27A73"/>
    <w:rsid w:val="00C27AD3"/>
    <w:rsid w:val="00C33C2F"/>
    <w:rsid w:val="00C344AB"/>
    <w:rsid w:val="00C35321"/>
    <w:rsid w:val="00C355A0"/>
    <w:rsid w:val="00C35C8C"/>
    <w:rsid w:val="00C36380"/>
    <w:rsid w:val="00C36936"/>
    <w:rsid w:val="00C41400"/>
    <w:rsid w:val="00C41629"/>
    <w:rsid w:val="00C41DF3"/>
    <w:rsid w:val="00C41E2B"/>
    <w:rsid w:val="00C42595"/>
    <w:rsid w:val="00C429DB"/>
    <w:rsid w:val="00C43AF9"/>
    <w:rsid w:val="00C44F07"/>
    <w:rsid w:val="00C45560"/>
    <w:rsid w:val="00C45878"/>
    <w:rsid w:val="00C45D50"/>
    <w:rsid w:val="00C45F4A"/>
    <w:rsid w:val="00C4771D"/>
    <w:rsid w:val="00C47888"/>
    <w:rsid w:val="00C47974"/>
    <w:rsid w:val="00C47FE2"/>
    <w:rsid w:val="00C5090B"/>
    <w:rsid w:val="00C50C45"/>
    <w:rsid w:val="00C50DA6"/>
    <w:rsid w:val="00C52FC7"/>
    <w:rsid w:val="00C5387F"/>
    <w:rsid w:val="00C53EA0"/>
    <w:rsid w:val="00C5420A"/>
    <w:rsid w:val="00C542B1"/>
    <w:rsid w:val="00C54EB0"/>
    <w:rsid w:val="00C553A8"/>
    <w:rsid w:val="00C5585F"/>
    <w:rsid w:val="00C55C01"/>
    <w:rsid w:val="00C5606F"/>
    <w:rsid w:val="00C56F14"/>
    <w:rsid w:val="00C57559"/>
    <w:rsid w:val="00C60539"/>
    <w:rsid w:val="00C610C2"/>
    <w:rsid w:val="00C61578"/>
    <w:rsid w:val="00C615FE"/>
    <w:rsid w:val="00C6166F"/>
    <w:rsid w:val="00C6190C"/>
    <w:rsid w:val="00C62885"/>
    <w:rsid w:val="00C63182"/>
    <w:rsid w:val="00C646C4"/>
    <w:rsid w:val="00C64FAA"/>
    <w:rsid w:val="00C6509D"/>
    <w:rsid w:val="00C6574A"/>
    <w:rsid w:val="00C66087"/>
    <w:rsid w:val="00C66272"/>
    <w:rsid w:val="00C66708"/>
    <w:rsid w:val="00C678EF"/>
    <w:rsid w:val="00C70030"/>
    <w:rsid w:val="00C7052A"/>
    <w:rsid w:val="00C7073F"/>
    <w:rsid w:val="00C70EC6"/>
    <w:rsid w:val="00C711F5"/>
    <w:rsid w:val="00C713B6"/>
    <w:rsid w:val="00C71411"/>
    <w:rsid w:val="00C7148A"/>
    <w:rsid w:val="00C717F7"/>
    <w:rsid w:val="00C71EE4"/>
    <w:rsid w:val="00C71F4C"/>
    <w:rsid w:val="00C7209E"/>
    <w:rsid w:val="00C726DE"/>
    <w:rsid w:val="00C72A7F"/>
    <w:rsid w:val="00C72BD7"/>
    <w:rsid w:val="00C73253"/>
    <w:rsid w:val="00C73AA8"/>
    <w:rsid w:val="00C73DA5"/>
    <w:rsid w:val="00C74209"/>
    <w:rsid w:val="00C74E04"/>
    <w:rsid w:val="00C76E62"/>
    <w:rsid w:val="00C777EE"/>
    <w:rsid w:val="00C77F45"/>
    <w:rsid w:val="00C8095D"/>
    <w:rsid w:val="00C80D20"/>
    <w:rsid w:val="00C812CE"/>
    <w:rsid w:val="00C812E9"/>
    <w:rsid w:val="00C81D88"/>
    <w:rsid w:val="00C82674"/>
    <w:rsid w:val="00C8277F"/>
    <w:rsid w:val="00C833AD"/>
    <w:rsid w:val="00C84E41"/>
    <w:rsid w:val="00C85491"/>
    <w:rsid w:val="00C86584"/>
    <w:rsid w:val="00C87148"/>
    <w:rsid w:val="00C878F8"/>
    <w:rsid w:val="00C87900"/>
    <w:rsid w:val="00C904A1"/>
    <w:rsid w:val="00C90DA1"/>
    <w:rsid w:val="00C91B70"/>
    <w:rsid w:val="00C93389"/>
    <w:rsid w:val="00C933FE"/>
    <w:rsid w:val="00C939CC"/>
    <w:rsid w:val="00C93CE3"/>
    <w:rsid w:val="00C93EA2"/>
    <w:rsid w:val="00C940DD"/>
    <w:rsid w:val="00C9432B"/>
    <w:rsid w:val="00C94AFC"/>
    <w:rsid w:val="00C94CB3"/>
    <w:rsid w:val="00C9777C"/>
    <w:rsid w:val="00CA0D78"/>
    <w:rsid w:val="00CA1080"/>
    <w:rsid w:val="00CA182E"/>
    <w:rsid w:val="00CA2062"/>
    <w:rsid w:val="00CA262E"/>
    <w:rsid w:val="00CA2940"/>
    <w:rsid w:val="00CA2C72"/>
    <w:rsid w:val="00CA2D81"/>
    <w:rsid w:val="00CA3B14"/>
    <w:rsid w:val="00CA3F63"/>
    <w:rsid w:val="00CA4106"/>
    <w:rsid w:val="00CA46B9"/>
    <w:rsid w:val="00CA4D2E"/>
    <w:rsid w:val="00CA56FC"/>
    <w:rsid w:val="00CA5E66"/>
    <w:rsid w:val="00CA66B4"/>
    <w:rsid w:val="00CA67FD"/>
    <w:rsid w:val="00CA702D"/>
    <w:rsid w:val="00CA70F5"/>
    <w:rsid w:val="00CA7B9A"/>
    <w:rsid w:val="00CB01D8"/>
    <w:rsid w:val="00CB053F"/>
    <w:rsid w:val="00CB0E41"/>
    <w:rsid w:val="00CB1073"/>
    <w:rsid w:val="00CB178A"/>
    <w:rsid w:val="00CB1D9A"/>
    <w:rsid w:val="00CB2079"/>
    <w:rsid w:val="00CB2760"/>
    <w:rsid w:val="00CB299D"/>
    <w:rsid w:val="00CB2DE7"/>
    <w:rsid w:val="00CB3A01"/>
    <w:rsid w:val="00CB412E"/>
    <w:rsid w:val="00CB4681"/>
    <w:rsid w:val="00CB5605"/>
    <w:rsid w:val="00CB5AEA"/>
    <w:rsid w:val="00CB5FF1"/>
    <w:rsid w:val="00CB61CB"/>
    <w:rsid w:val="00CB68A5"/>
    <w:rsid w:val="00CB7F9B"/>
    <w:rsid w:val="00CC0A18"/>
    <w:rsid w:val="00CC0CCE"/>
    <w:rsid w:val="00CC1C7D"/>
    <w:rsid w:val="00CC2432"/>
    <w:rsid w:val="00CC2DDC"/>
    <w:rsid w:val="00CC36B6"/>
    <w:rsid w:val="00CC3AA8"/>
    <w:rsid w:val="00CC45E4"/>
    <w:rsid w:val="00CC4A59"/>
    <w:rsid w:val="00CC6089"/>
    <w:rsid w:val="00CC6CB9"/>
    <w:rsid w:val="00CC7B27"/>
    <w:rsid w:val="00CC7D3F"/>
    <w:rsid w:val="00CD0A19"/>
    <w:rsid w:val="00CD0EE1"/>
    <w:rsid w:val="00CD16C3"/>
    <w:rsid w:val="00CD19D6"/>
    <w:rsid w:val="00CD1C40"/>
    <w:rsid w:val="00CD30D8"/>
    <w:rsid w:val="00CD332A"/>
    <w:rsid w:val="00CD3F01"/>
    <w:rsid w:val="00CD45BC"/>
    <w:rsid w:val="00CD45C9"/>
    <w:rsid w:val="00CD5F47"/>
    <w:rsid w:val="00CD62BC"/>
    <w:rsid w:val="00CD701D"/>
    <w:rsid w:val="00CD79B1"/>
    <w:rsid w:val="00CE0942"/>
    <w:rsid w:val="00CE0BD2"/>
    <w:rsid w:val="00CE15C4"/>
    <w:rsid w:val="00CE190F"/>
    <w:rsid w:val="00CE1EB1"/>
    <w:rsid w:val="00CE202D"/>
    <w:rsid w:val="00CE2320"/>
    <w:rsid w:val="00CE35D9"/>
    <w:rsid w:val="00CE38EA"/>
    <w:rsid w:val="00CE4299"/>
    <w:rsid w:val="00CE49C9"/>
    <w:rsid w:val="00CE5085"/>
    <w:rsid w:val="00CE5643"/>
    <w:rsid w:val="00CE5F8E"/>
    <w:rsid w:val="00CE7031"/>
    <w:rsid w:val="00CE715B"/>
    <w:rsid w:val="00CE7281"/>
    <w:rsid w:val="00CE72DB"/>
    <w:rsid w:val="00CE7C34"/>
    <w:rsid w:val="00CE7C69"/>
    <w:rsid w:val="00CF0FBF"/>
    <w:rsid w:val="00CF1267"/>
    <w:rsid w:val="00CF1755"/>
    <w:rsid w:val="00CF2102"/>
    <w:rsid w:val="00CF2156"/>
    <w:rsid w:val="00CF21A7"/>
    <w:rsid w:val="00CF2AA1"/>
    <w:rsid w:val="00CF344E"/>
    <w:rsid w:val="00CF48AA"/>
    <w:rsid w:val="00CF4A65"/>
    <w:rsid w:val="00CF4C6D"/>
    <w:rsid w:val="00CF4D69"/>
    <w:rsid w:val="00CF5F58"/>
    <w:rsid w:val="00CF5FB7"/>
    <w:rsid w:val="00CF6066"/>
    <w:rsid w:val="00CF690E"/>
    <w:rsid w:val="00CF6960"/>
    <w:rsid w:val="00CF6A6F"/>
    <w:rsid w:val="00CF768E"/>
    <w:rsid w:val="00CF7A25"/>
    <w:rsid w:val="00CF7AD6"/>
    <w:rsid w:val="00CF7C1E"/>
    <w:rsid w:val="00D013BE"/>
    <w:rsid w:val="00D01848"/>
    <w:rsid w:val="00D01DE8"/>
    <w:rsid w:val="00D01F3C"/>
    <w:rsid w:val="00D03638"/>
    <w:rsid w:val="00D0383B"/>
    <w:rsid w:val="00D03A25"/>
    <w:rsid w:val="00D03C28"/>
    <w:rsid w:val="00D03D99"/>
    <w:rsid w:val="00D04400"/>
    <w:rsid w:val="00D04A38"/>
    <w:rsid w:val="00D04ABE"/>
    <w:rsid w:val="00D04DE4"/>
    <w:rsid w:val="00D04F50"/>
    <w:rsid w:val="00D052B9"/>
    <w:rsid w:val="00D05AC6"/>
    <w:rsid w:val="00D05AFB"/>
    <w:rsid w:val="00D05B04"/>
    <w:rsid w:val="00D06608"/>
    <w:rsid w:val="00D06B9B"/>
    <w:rsid w:val="00D07A66"/>
    <w:rsid w:val="00D105BC"/>
    <w:rsid w:val="00D10834"/>
    <w:rsid w:val="00D12703"/>
    <w:rsid w:val="00D128E1"/>
    <w:rsid w:val="00D12AB5"/>
    <w:rsid w:val="00D12B33"/>
    <w:rsid w:val="00D1321C"/>
    <w:rsid w:val="00D13B10"/>
    <w:rsid w:val="00D1473F"/>
    <w:rsid w:val="00D15607"/>
    <w:rsid w:val="00D1590C"/>
    <w:rsid w:val="00D1627F"/>
    <w:rsid w:val="00D16EA2"/>
    <w:rsid w:val="00D17D9C"/>
    <w:rsid w:val="00D17DA0"/>
    <w:rsid w:val="00D17E7C"/>
    <w:rsid w:val="00D17E8C"/>
    <w:rsid w:val="00D20666"/>
    <w:rsid w:val="00D211C0"/>
    <w:rsid w:val="00D21628"/>
    <w:rsid w:val="00D2252A"/>
    <w:rsid w:val="00D22F42"/>
    <w:rsid w:val="00D23DEC"/>
    <w:rsid w:val="00D2430D"/>
    <w:rsid w:val="00D24463"/>
    <w:rsid w:val="00D248AD"/>
    <w:rsid w:val="00D24FA3"/>
    <w:rsid w:val="00D2544C"/>
    <w:rsid w:val="00D2594D"/>
    <w:rsid w:val="00D25E6D"/>
    <w:rsid w:val="00D262C9"/>
    <w:rsid w:val="00D26AA5"/>
    <w:rsid w:val="00D26E94"/>
    <w:rsid w:val="00D27E00"/>
    <w:rsid w:val="00D27E1F"/>
    <w:rsid w:val="00D308C9"/>
    <w:rsid w:val="00D312B5"/>
    <w:rsid w:val="00D31795"/>
    <w:rsid w:val="00D3214A"/>
    <w:rsid w:val="00D32D64"/>
    <w:rsid w:val="00D331FC"/>
    <w:rsid w:val="00D3359D"/>
    <w:rsid w:val="00D35061"/>
    <w:rsid w:val="00D3552E"/>
    <w:rsid w:val="00D35768"/>
    <w:rsid w:val="00D35D02"/>
    <w:rsid w:val="00D363A9"/>
    <w:rsid w:val="00D373F2"/>
    <w:rsid w:val="00D414E1"/>
    <w:rsid w:val="00D41E42"/>
    <w:rsid w:val="00D42C04"/>
    <w:rsid w:val="00D42DD0"/>
    <w:rsid w:val="00D434AF"/>
    <w:rsid w:val="00D435C4"/>
    <w:rsid w:val="00D44A0F"/>
    <w:rsid w:val="00D457AB"/>
    <w:rsid w:val="00D45C8E"/>
    <w:rsid w:val="00D46906"/>
    <w:rsid w:val="00D472AB"/>
    <w:rsid w:val="00D47651"/>
    <w:rsid w:val="00D50462"/>
    <w:rsid w:val="00D5067A"/>
    <w:rsid w:val="00D50B77"/>
    <w:rsid w:val="00D510AE"/>
    <w:rsid w:val="00D52427"/>
    <w:rsid w:val="00D5250E"/>
    <w:rsid w:val="00D5344B"/>
    <w:rsid w:val="00D538C1"/>
    <w:rsid w:val="00D53A08"/>
    <w:rsid w:val="00D5418B"/>
    <w:rsid w:val="00D549E9"/>
    <w:rsid w:val="00D55776"/>
    <w:rsid w:val="00D55E41"/>
    <w:rsid w:val="00D56093"/>
    <w:rsid w:val="00D5651B"/>
    <w:rsid w:val="00D5686E"/>
    <w:rsid w:val="00D5727C"/>
    <w:rsid w:val="00D57FD4"/>
    <w:rsid w:val="00D60229"/>
    <w:rsid w:val="00D603E4"/>
    <w:rsid w:val="00D604D4"/>
    <w:rsid w:val="00D631AA"/>
    <w:rsid w:val="00D631E9"/>
    <w:rsid w:val="00D63496"/>
    <w:rsid w:val="00D63FB4"/>
    <w:rsid w:val="00D6409B"/>
    <w:rsid w:val="00D6563D"/>
    <w:rsid w:val="00D6573D"/>
    <w:rsid w:val="00D65B93"/>
    <w:rsid w:val="00D66066"/>
    <w:rsid w:val="00D6607C"/>
    <w:rsid w:val="00D670FC"/>
    <w:rsid w:val="00D674EB"/>
    <w:rsid w:val="00D705B2"/>
    <w:rsid w:val="00D71D30"/>
    <w:rsid w:val="00D71D53"/>
    <w:rsid w:val="00D72373"/>
    <w:rsid w:val="00D72DD9"/>
    <w:rsid w:val="00D72E00"/>
    <w:rsid w:val="00D733A8"/>
    <w:rsid w:val="00D73682"/>
    <w:rsid w:val="00D73F15"/>
    <w:rsid w:val="00D74658"/>
    <w:rsid w:val="00D74A7F"/>
    <w:rsid w:val="00D75845"/>
    <w:rsid w:val="00D75BAB"/>
    <w:rsid w:val="00D75C22"/>
    <w:rsid w:val="00D75F18"/>
    <w:rsid w:val="00D76012"/>
    <w:rsid w:val="00D7686B"/>
    <w:rsid w:val="00D7709F"/>
    <w:rsid w:val="00D80A45"/>
    <w:rsid w:val="00D8145F"/>
    <w:rsid w:val="00D81515"/>
    <w:rsid w:val="00D81BCC"/>
    <w:rsid w:val="00D81E86"/>
    <w:rsid w:val="00D82CF8"/>
    <w:rsid w:val="00D8307E"/>
    <w:rsid w:val="00D834BE"/>
    <w:rsid w:val="00D8350C"/>
    <w:rsid w:val="00D849D0"/>
    <w:rsid w:val="00D84EB1"/>
    <w:rsid w:val="00D850E8"/>
    <w:rsid w:val="00D85F7F"/>
    <w:rsid w:val="00D87ADA"/>
    <w:rsid w:val="00D91309"/>
    <w:rsid w:val="00D91A46"/>
    <w:rsid w:val="00D91F64"/>
    <w:rsid w:val="00D9295A"/>
    <w:rsid w:val="00D94CE4"/>
    <w:rsid w:val="00D953A8"/>
    <w:rsid w:val="00D9579E"/>
    <w:rsid w:val="00D96ABE"/>
    <w:rsid w:val="00D96EF6"/>
    <w:rsid w:val="00D97F8C"/>
    <w:rsid w:val="00DA03C7"/>
    <w:rsid w:val="00DA0A55"/>
    <w:rsid w:val="00DA125B"/>
    <w:rsid w:val="00DA1D8E"/>
    <w:rsid w:val="00DA239A"/>
    <w:rsid w:val="00DA2820"/>
    <w:rsid w:val="00DA2B65"/>
    <w:rsid w:val="00DA2DB1"/>
    <w:rsid w:val="00DA3C4F"/>
    <w:rsid w:val="00DA52BD"/>
    <w:rsid w:val="00DA61C1"/>
    <w:rsid w:val="00DA6793"/>
    <w:rsid w:val="00DA69B5"/>
    <w:rsid w:val="00DA6BFB"/>
    <w:rsid w:val="00DA7912"/>
    <w:rsid w:val="00DA7ECA"/>
    <w:rsid w:val="00DB02BB"/>
    <w:rsid w:val="00DB07AF"/>
    <w:rsid w:val="00DB13FE"/>
    <w:rsid w:val="00DB1876"/>
    <w:rsid w:val="00DB1E0B"/>
    <w:rsid w:val="00DB2186"/>
    <w:rsid w:val="00DB2462"/>
    <w:rsid w:val="00DB3E0E"/>
    <w:rsid w:val="00DB3EC4"/>
    <w:rsid w:val="00DB4528"/>
    <w:rsid w:val="00DB4D30"/>
    <w:rsid w:val="00DB5290"/>
    <w:rsid w:val="00DB531D"/>
    <w:rsid w:val="00DB595E"/>
    <w:rsid w:val="00DB5EBF"/>
    <w:rsid w:val="00DB675C"/>
    <w:rsid w:val="00DB6FFA"/>
    <w:rsid w:val="00DB76C1"/>
    <w:rsid w:val="00DB7773"/>
    <w:rsid w:val="00DC02D9"/>
    <w:rsid w:val="00DC15B1"/>
    <w:rsid w:val="00DC1D23"/>
    <w:rsid w:val="00DC1F6E"/>
    <w:rsid w:val="00DC1FB1"/>
    <w:rsid w:val="00DC263C"/>
    <w:rsid w:val="00DC31C2"/>
    <w:rsid w:val="00DC32DD"/>
    <w:rsid w:val="00DC55EB"/>
    <w:rsid w:val="00DC5946"/>
    <w:rsid w:val="00DC5975"/>
    <w:rsid w:val="00DC63E7"/>
    <w:rsid w:val="00DC65D5"/>
    <w:rsid w:val="00DC7D84"/>
    <w:rsid w:val="00DD1EF5"/>
    <w:rsid w:val="00DD27FB"/>
    <w:rsid w:val="00DD2B69"/>
    <w:rsid w:val="00DD3B88"/>
    <w:rsid w:val="00DD4A66"/>
    <w:rsid w:val="00DD4C81"/>
    <w:rsid w:val="00DD581B"/>
    <w:rsid w:val="00DD62D4"/>
    <w:rsid w:val="00DD64ED"/>
    <w:rsid w:val="00DD6B52"/>
    <w:rsid w:val="00DD6CF2"/>
    <w:rsid w:val="00DD6F4B"/>
    <w:rsid w:val="00DD7354"/>
    <w:rsid w:val="00DE01A6"/>
    <w:rsid w:val="00DE02FB"/>
    <w:rsid w:val="00DE086A"/>
    <w:rsid w:val="00DE0CD0"/>
    <w:rsid w:val="00DE1715"/>
    <w:rsid w:val="00DE2778"/>
    <w:rsid w:val="00DE3E01"/>
    <w:rsid w:val="00DE3ED1"/>
    <w:rsid w:val="00DE42CC"/>
    <w:rsid w:val="00DE4318"/>
    <w:rsid w:val="00DE55D3"/>
    <w:rsid w:val="00DE5B2E"/>
    <w:rsid w:val="00DE6533"/>
    <w:rsid w:val="00DE6C0A"/>
    <w:rsid w:val="00DE6C24"/>
    <w:rsid w:val="00DE6D5C"/>
    <w:rsid w:val="00DE706B"/>
    <w:rsid w:val="00DF0041"/>
    <w:rsid w:val="00DF02E2"/>
    <w:rsid w:val="00DF11D9"/>
    <w:rsid w:val="00DF13FE"/>
    <w:rsid w:val="00DF1412"/>
    <w:rsid w:val="00DF18D0"/>
    <w:rsid w:val="00DF2602"/>
    <w:rsid w:val="00DF2620"/>
    <w:rsid w:val="00DF2827"/>
    <w:rsid w:val="00DF2C2A"/>
    <w:rsid w:val="00DF5074"/>
    <w:rsid w:val="00DF5E57"/>
    <w:rsid w:val="00E005DC"/>
    <w:rsid w:val="00E008B4"/>
    <w:rsid w:val="00E00963"/>
    <w:rsid w:val="00E01784"/>
    <w:rsid w:val="00E025A9"/>
    <w:rsid w:val="00E02A55"/>
    <w:rsid w:val="00E03FCF"/>
    <w:rsid w:val="00E04430"/>
    <w:rsid w:val="00E045B7"/>
    <w:rsid w:val="00E04875"/>
    <w:rsid w:val="00E05868"/>
    <w:rsid w:val="00E05E70"/>
    <w:rsid w:val="00E06709"/>
    <w:rsid w:val="00E07567"/>
    <w:rsid w:val="00E07C75"/>
    <w:rsid w:val="00E101BF"/>
    <w:rsid w:val="00E10507"/>
    <w:rsid w:val="00E1077D"/>
    <w:rsid w:val="00E108A8"/>
    <w:rsid w:val="00E1157D"/>
    <w:rsid w:val="00E118E8"/>
    <w:rsid w:val="00E12931"/>
    <w:rsid w:val="00E12B25"/>
    <w:rsid w:val="00E13CD6"/>
    <w:rsid w:val="00E145BE"/>
    <w:rsid w:val="00E14BB3"/>
    <w:rsid w:val="00E15082"/>
    <w:rsid w:val="00E165D6"/>
    <w:rsid w:val="00E166AC"/>
    <w:rsid w:val="00E174F3"/>
    <w:rsid w:val="00E17B54"/>
    <w:rsid w:val="00E17BD7"/>
    <w:rsid w:val="00E20136"/>
    <w:rsid w:val="00E202C5"/>
    <w:rsid w:val="00E2070A"/>
    <w:rsid w:val="00E2080F"/>
    <w:rsid w:val="00E20BA6"/>
    <w:rsid w:val="00E20DD9"/>
    <w:rsid w:val="00E20E1B"/>
    <w:rsid w:val="00E21BF4"/>
    <w:rsid w:val="00E21D99"/>
    <w:rsid w:val="00E2239B"/>
    <w:rsid w:val="00E22F74"/>
    <w:rsid w:val="00E23B12"/>
    <w:rsid w:val="00E23D64"/>
    <w:rsid w:val="00E23DDB"/>
    <w:rsid w:val="00E241ED"/>
    <w:rsid w:val="00E24242"/>
    <w:rsid w:val="00E24365"/>
    <w:rsid w:val="00E2510C"/>
    <w:rsid w:val="00E257F5"/>
    <w:rsid w:val="00E25D0E"/>
    <w:rsid w:val="00E268DE"/>
    <w:rsid w:val="00E30046"/>
    <w:rsid w:val="00E300C1"/>
    <w:rsid w:val="00E301D7"/>
    <w:rsid w:val="00E30BC8"/>
    <w:rsid w:val="00E310B9"/>
    <w:rsid w:val="00E31E0A"/>
    <w:rsid w:val="00E32F26"/>
    <w:rsid w:val="00E3339C"/>
    <w:rsid w:val="00E33E26"/>
    <w:rsid w:val="00E34C6D"/>
    <w:rsid w:val="00E35326"/>
    <w:rsid w:val="00E355A4"/>
    <w:rsid w:val="00E356F3"/>
    <w:rsid w:val="00E35B7C"/>
    <w:rsid w:val="00E36110"/>
    <w:rsid w:val="00E361FD"/>
    <w:rsid w:val="00E36CE7"/>
    <w:rsid w:val="00E3741A"/>
    <w:rsid w:val="00E403B6"/>
    <w:rsid w:val="00E4044C"/>
    <w:rsid w:val="00E40A79"/>
    <w:rsid w:val="00E40DFD"/>
    <w:rsid w:val="00E40FBE"/>
    <w:rsid w:val="00E41671"/>
    <w:rsid w:val="00E41A8D"/>
    <w:rsid w:val="00E41C3F"/>
    <w:rsid w:val="00E41FA7"/>
    <w:rsid w:val="00E4254D"/>
    <w:rsid w:val="00E42C0B"/>
    <w:rsid w:val="00E42C24"/>
    <w:rsid w:val="00E43895"/>
    <w:rsid w:val="00E43BCD"/>
    <w:rsid w:val="00E43D84"/>
    <w:rsid w:val="00E43DDF"/>
    <w:rsid w:val="00E4444F"/>
    <w:rsid w:val="00E44F19"/>
    <w:rsid w:val="00E454C2"/>
    <w:rsid w:val="00E47BBB"/>
    <w:rsid w:val="00E50013"/>
    <w:rsid w:val="00E51558"/>
    <w:rsid w:val="00E51622"/>
    <w:rsid w:val="00E519D0"/>
    <w:rsid w:val="00E51ED1"/>
    <w:rsid w:val="00E51F9F"/>
    <w:rsid w:val="00E535D3"/>
    <w:rsid w:val="00E53B5A"/>
    <w:rsid w:val="00E542C1"/>
    <w:rsid w:val="00E5513A"/>
    <w:rsid w:val="00E556E1"/>
    <w:rsid w:val="00E55B49"/>
    <w:rsid w:val="00E55F00"/>
    <w:rsid w:val="00E5694D"/>
    <w:rsid w:val="00E57852"/>
    <w:rsid w:val="00E6045B"/>
    <w:rsid w:val="00E605F3"/>
    <w:rsid w:val="00E60E95"/>
    <w:rsid w:val="00E61052"/>
    <w:rsid w:val="00E61838"/>
    <w:rsid w:val="00E61A55"/>
    <w:rsid w:val="00E61C33"/>
    <w:rsid w:val="00E61D03"/>
    <w:rsid w:val="00E62143"/>
    <w:rsid w:val="00E6308A"/>
    <w:rsid w:val="00E64784"/>
    <w:rsid w:val="00E65282"/>
    <w:rsid w:val="00E65801"/>
    <w:rsid w:val="00E678F6"/>
    <w:rsid w:val="00E67DC1"/>
    <w:rsid w:val="00E70532"/>
    <w:rsid w:val="00E70717"/>
    <w:rsid w:val="00E73069"/>
    <w:rsid w:val="00E732A6"/>
    <w:rsid w:val="00E7414D"/>
    <w:rsid w:val="00E75214"/>
    <w:rsid w:val="00E7628C"/>
    <w:rsid w:val="00E76CA7"/>
    <w:rsid w:val="00E77AD6"/>
    <w:rsid w:val="00E81E9F"/>
    <w:rsid w:val="00E8218A"/>
    <w:rsid w:val="00E83E5C"/>
    <w:rsid w:val="00E840B2"/>
    <w:rsid w:val="00E84369"/>
    <w:rsid w:val="00E848CA"/>
    <w:rsid w:val="00E84B49"/>
    <w:rsid w:val="00E84EAF"/>
    <w:rsid w:val="00E851C8"/>
    <w:rsid w:val="00E8590F"/>
    <w:rsid w:val="00E85938"/>
    <w:rsid w:val="00E85E3E"/>
    <w:rsid w:val="00E85F85"/>
    <w:rsid w:val="00E8613E"/>
    <w:rsid w:val="00E86525"/>
    <w:rsid w:val="00E8654F"/>
    <w:rsid w:val="00E86A79"/>
    <w:rsid w:val="00E86DBF"/>
    <w:rsid w:val="00E87B37"/>
    <w:rsid w:val="00E87BDB"/>
    <w:rsid w:val="00E91393"/>
    <w:rsid w:val="00E91E34"/>
    <w:rsid w:val="00E91E9F"/>
    <w:rsid w:val="00E9270C"/>
    <w:rsid w:val="00E931BC"/>
    <w:rsid w:val="00E940A1"/>
    <w:rsid w:val="00E94CAE"/>
    <w:rsid w:val="00E9526E"/>
    <w:rsid w:val="00E95BEA"/>
    <w:rsid w:val="00E95F89"/>
    <w:rsid w:val="00E9663B"/>
    <w:rsid w:val="00EA06B1"/>
    <w:rsid w:val="00EA100F"/>
    <w:rsid w:val="00EA182C"/>
    <w:rsid w:val="00EA33E5"/>
    <w:rsid w:val="00EA4039"/>
    <w:rsid w:val="00EA4FAE"/>
    <w:rsid w:val="00EA6FA9"/>
    <w:rsid w:val="00EB169D"/>
    <w:rsid w:val="00EB2471"/>
    <w:rsid w:val="00EB265C"/>
    <w:rsid w:val="00EB2975"/>
    <w:rsid w:val="00EB2B3F"/>
    <w:rsid w:val="00EB3021"/>
    <w:rsid w:val="00EB35B1"/>
    <w:rsid w:val="00EB4048"/>
    <w:rsid w:val="00EB4D1F"/>
    <w:rsid w:val="00EB6529"/>
    <w:rsid w:val="00EB6DBC"/>
    <w:rsid w:val="00EB6F98"/>
    <w:rsid w:val="00EB72DF"/>
    <w:rsid w:val="00EB7CDF"/>
    <w:rsid w:val="00EB7EBF"/>
    <w:rsid w:val="00EC104C"/>
    <w:rsid w:val="00EC107C"/>
    <w:rsid w:val="00EC1757"/>
    <w:rsid w:val="00EC1CA1"/>
    <w:rsid w:val="00EC25CF"/>
    <w:rsid w:val="00EC2FE2"/>
    <w:rsid w:val="00EC38E0"/>
    <w:rsid w:val="00EC3D9E"/>
    <w:rsid w:val="00EC41FA"/>
    <w:rsid w:val="00EC42E5"/>
    <w:rsid w:val="00EC4DBC"/>
    <w:rsid w:val="00EC4EF9"/>
    <w:rsid w:val="00EC4FF3"/>
    <w:rsid w:val="00EC50BD"/>
    <w:rsid w:val="00EC6108"/>
    <w:rsid w:val="00EC6BDB"/>
    <w:rsid w:val="00ED0748"/>
    <w:rsid w:val="00ED0771"/>
    <w:rsid w:val="00ED0DE6"/>
    <w:rsid w:val="00ED1531"/>
    <w:rsid w:val="00ED1918"/>
    <w:rsid w:val="00ED2A89"/>
    <w:rsid w:val="00ED3537"/>
    <w:rsid w:val="00ED3A4D"/>
    <w:rsid w:val="00ED403F"/>
    <w:rsid w:val="00ED47B3"/>
    <w:rsid w:val="00ED485E"/>
    <w:rsid w:val="00ED516E"/>
    <w:rsid w:val="00ED5C1E"/>
    <w:rsid w:val="00ED646D"/>
    <w:rsid w:val="00ED6762"/>
    <w:rsid w:val="00ED6AAF"/>
    <w:rsid w:val="00ED6BB7"/>
    <w:rsid w:val="00EE0264"/>
    <w:rsid w:val="00EE064E"/>
    <w:rsid w:val="00EE0C40"/>
    <w:rsid w:val="00EE20CD"/>
    <w:rsid w:val="00EE2151"/>
    <w:rsid w:val="00EE2AE5"/>
    <w:rsid w:val="00EE3027"/>
    <w:rsid w:val="00EE3848"/>
    <w:rsid w:val="00EE40FB"/>
    <w:rsid w:val="00EE44A8"/>
    <w:rsid w:val="00EE61CE"/>
    <w:rsid w:val="00EE6638"/>
    <w:rsid w:val="00EE68F1"/>
    <w:rsid w:val="00EE6D58"/>
    <w:rsid w:val="00EE6D8A"/>
    <w:rsid w:val="00EE6F66"/>
    <w:rsid w:val="00EE7AF6"/>
    <w:rsid w:val="00EF062E"/>
    <w:rsid w:val="00EF1BF0"/>
    <w:rsid w:val="00EF2240"/>
    <w:rsid w:val="00EF4280"/>
    <w:rsid w:val="00EF44EB"/>
    <w:rsid w:val="00EF53F7"/>
    <w:rsid w:val="00EF5461"/>
    <w:rsid w:val="00EF54EC"/>
    <w:rsid w:val="00EF56BB"/>
    <w:rsid w:val="00EF6292"/>
    <w:rsid w:val="00EF6828"/>
    <w:rsid w:val="00EF6ACD"/>
    <w:rsid w:val="00EF6D93"/>
    <w:rsid w:val="00EF6F73"/>
    <w:rsid w:val="00EF75F9"/>
    <w:rsid w:val="00EF7F27"/>
    <w:rsid w:val="00F00213"/>
    <w:rsid w:val="00F00978"/>
    <w:rsid w:val="00F00D21"/>
    <w:rsid w:val="00F00F28"/>
    <w:rsid w:val="00F021F8"/>
    <w:rsid w:val="00F02541"/>
    <w:rsid w:val="00F02AB5"/>
    <w:rsid w:val="00F02B3E"/>
    <w:rsid w:val="00F03303"/>
    <w:rsid w:val="00F03903"/>
    <w:rsid w:val="00F0463D"/>
    <w:rsid w:val="00F06337"/>
    <w:rsid w:val="00F06BF4"/>
    <w:rsid w:val="00F076C3"/>
    <w:rsid w:val="00F07E04"/>
    <w:rsid w:val="00F07F69"/>
    <w:rsid w:val="00F11352"/>
    <w:rsid w:val="00F115C1"/>
    <w:rsid w:val="00F116F2"/>
    <w:rsid w:val="00F11AA6"/>
    <w:rsid w:val="00F1258A"/>
    <w:rsid w:val="00F129BB"/>
    <w:rsid w:val="00F12A36"/>
    <w:rsid w:val="00F12C3B"/>
    <w:rsid w:val="00F133A1"/>
    <w:rsid w:val="00F13A04"/>
    <w:rsid w:val="00F13BCD"/>
    <w:rsid w:val="00F13E1D"/>
    <w:rsid w:val="00F13EBA"/>
    <w:rsid w:val="00F14EC9"/>
    <w:rsid w:val="00F15286"/>
    <w:rsid w:val="00F16709"/>
    <w:rsid w:val="00F170CD"/>
    <w:rsid w:val="00F1769F"/>
    <w:rsid w:val="00F17F30"/>
    <w:rsid w:val="00F2008E"/>
    <w:rsid w:val="00F2099C"/>
    <w:rsid w:val="00F2108F"/>
    <w:rsid w:val="00F219B3"/>
    <w:rsid w:val="00F21D12"/>
    <w:rsid w:val="00F22F95"/>
    <w:rsid w:val="00F23180"/>
    <w:rsid w:val="00F231CA"/>
    <w:rsid w:val="00F23325"/>
    <w:rsid w:val="00F23CA9"/>
    <w:rsid w:val="00F25094"/>
    <w:rsid w:val="00F275A2"/>
    <w:rsid w:val="00F279AE"/>
    <w:rsid w:val="00F30750"/>
    <w:rsid w:val="00F30D4C"/>
    <w:rsid w:val="00F320D6"/>
    <w:rsid w:val="00F320DE"/>
    <w:rsid w:val="00F321FF"/>
    <w:rsid w:val="00F326F6"/>
    <w:rsid w:val="00F3312C"/>
    <w:rsid w:val="00F3446B"/>
    <w:rsid w:val="00F345C8"/>
    <w:rsid w:val="00F34A6B"/>
    <w:rsid w:val="00F34AFA"/>
    <w:rsid w:val="00F357B8"/>
    <w:rsid w:val="00F35C82"/>
    <w:rsid w:val="00F36284"/>
    <w:rsid w:val="00F3649D"/>
    <w:rsid w:val="00F366A4"/>
    <w:rsid w:val="00F36807"/>
    <w:rsid w:val="00F36F7A"/>
    <w:rsid w:val="00F37278"/>
    <w:rsid w:val="00F4073A"/>
    <w:rsid w:val="00F4100B"/>
    <w:rsid w:val="00F41386"/>
    <w:rsid w:val="00F422DF"/>
    <w:rsid w:val="00F42CC3"/>
    <w:rsid w:val="00F42E6D"/>
    <w:rsid w:val="00F46251"/>
    <w:rsid w:val="00F46252"/>
    <w:rsid w:val="00F47148"/>
    <w:rsid w:val="00F47B57"/>
    <w:rsid w:val="00F47EB1"/>
    <w:rsid w:val="00F50643"/>
    <w:rsid w:val="00F506EE"/>
    <w:rsid w:val="00F523CC"/>
    <w:rsid w:val="00F52627"/>
    <w:rsid w:val="00F52C54"/>
    <w:rsid w:val="00F533EE"/>
    <w:rsid w:val="00F54421"/>
    <w:rsid w:val="00F55591"/>
    <w:rsid w:val="00F5562C"/>
    <w:rsid w:val="00F559DD"/>
    <w:rsid w:val="00F55A8A"/>
    <w:rsid w:val="00F5668A"/>
    <w:rsid w:val="00F57676"/>
    <w:rsid w:val="00F6000A"/>
    <w:rsid w:val="00F6032E"/>
    <w:rsid w:val="00F604AF"/>
    <w:rsid w:val="00F6070B"/>
    <w:rsid w:val="00F60C3A"/>
    <w:rsid w:val="00F62311"/>
    <w:rsid w:val="00F62AB1"/>
    <w:rsid w:val="00F62C88"/>
    <w:rsid w:val="00F640A6"/>
    <w:rsid w:val="00F640C1"/>
    <w:rsid w:val="00F65527"/>
    <w:rsid w:val="00F664C3"/>
    <w:rsid w:val="00F6663D"/>
    <w:rsid w:val="00F66697"/>
    <w:rsid w:val="00F666C5"/>
    <w:rsid w:val="00F70905"/>
    <w:rsid w:val="00F70AB0"/>
    <w:rsid w:val="00F71507"/>
    <w:rsid w:val="00F71737"/>
    <w:rsid w:val="00F7197A"/>
    <w:rsid w:val="00F71BD0"/>
    <w:rsid w:val="00F7230F"/>
    <w:rsid w:val="00F72B7E"/>
    <w:rsid w:val="00F72BE2"/>
    <w:rsid w:val="00F73606"/>
    <w:rsid w:val="00F73868"/>
    <w:rsid w:val="00F741D8"/>
    <w:rsid w:val="00F74532"/>
    <w:rsid w:val="00F74903"/>
    <w:rsid w:val="00F75B10"/>
    <w:rsid w:val="00F75E83"/>
    <w:rsid w:val="00F76852"/>
    <w:rsid w:val="00F76C8B"/>
    <w:rsid w:val="00F76CC7"/>
    <w:rsid w:val="00F77AB7"/>
    <w:rsid w:val="00F8004E"/>
    <w:rsid w:val="00F80DC4"/>
    <w:rsid w:val="00F81DB8"/>
    <w:rsid w:val="00F81EA7"/>
    <w:rsid w:val="00F82505"/>
    <w:rsid w:val="00F82E3E"/>
    <w:rsid w:val="00F8322D"/>
    <w:rsid w:val="00F83CEB"/>
    <w:rsid w:val="00F84CD2"/>
    <w:rsid w:val="00F875FA"/>
    <w:rsid w:val="00F87631"/>
    <w:rsid w:val="00F90178"/>
    <w:rsid w:val="00F907FD"/>
    <w:rsid w:val="00F90863"/>
    <w:rsid w:val="00F90EAB"/>
    <w:rsid w:val="00F91166"/>
    <w:rsid w:val="00F91B6A"/>
    <w:rsid w:val="00F921A3"/>
    <w:rsid w:val="00F92BB3"/>
    <w:rsid w:val="00F93E1D"/>
    <w:rsid w:val="00F94339"/>
    <w:rsid w:val="00F948A4"/>
    <w:rsid w:val="00F948CE"/>
    <w:rsid w:val="00F94C9A"/>
    <w:rsid w:val="00F95588"/>
    <w:rsid w:val="00F95D86"/>
    <w:rsid w:val="00F969DE"/>
    <w:rsid w:val="00F972E4"/>
    <w:rsid w:val="00F97861"/>
    <w:rsid w:val="00F97FBA"/>
    <w:rsid w:val="00FA0358"/>
    <w:rsid w:val="00FA0757"/>
    <w:rsid w:val="00FA0D7C"/>
    <w:rsid w:val="00FA183D"/>
    <w:rsid w:val="00FA1EA3"/>
    <w:rsid w:val="00FA267E"/>
    <w:rsid w:val="00FA28FA"/>
    <w:rsid w:val="00FA4519"/>
    <w:rsid w:val="00FA4744"/>
    <w:rsid w:val="00FA4B17"/>
    <w:rsid w:val="00FA4B59"/>
    <w:rsid w:val="00FA5511"/>
    <w:rsid w:val="00FA5A10"/>
    <w:rsid w:val="00FA739B"/>
    <w:rsid w:val="00FA7F74"/>
    <w:rsid w:val="00FB0272"/>
    <w:rsid w:val="00FB0B0D"/>
    <w:rsid w:val="00FB0C3A"/>
    <w:rsid w:val="00FB0D27"/>
    <w:rsid w:val="00FB1047"/>
    <w:rsid w:val="00FB1167"/>
    <w:rsid w:val="00FB151C"/>
    <w:rsid w:val="00FB38E3"/>
    <w:rsid w:val="00FB3A8C"/>
    <w:rsid w:val="00FB46D3"/>
    <w:rsid w:val="00FB49D9"/>
    <w:rsid w:val="00FB4C5D"/>
    <w:rsid w:val="00FB5D38"/>
    <w:rsid w:val="00FB5D7A"/>
    <w:rsid w:val="00FB6201"/>
    <w:rsid w:val="00FB6960"/>
    <w:rsid w:val="00FB6A3B"/>
    <w:rsid w:val="00FB6B24"/>
    <w:rsid w:val="00FB6CE3"/>
    <w:rsid w:val="00FB72AE"/>
    <w:rsid w:val="00FB7D28"/>
    <w:rsid w:val="00FC0236"/>
    <w:rsid w:val="00FC0AAC"/>
    <w:rsid w:val="00FC12AE"/>
    <w:rsid w:val="00FC277B"/>
    <w:rsid w:val="00FC2941"/>
    <w:rsid w:val="00FC2943"/>
    <w:rsid w:val="00FC318D"/>
    <w:rsid w:val="00FC3DAD"/>
    <w:rsid w:val="00FC412F"/>
    <w:rsid w:val="00FC4E06"/>
    <w:rsid w:val="00FC6354"/>
    <w:rsid w:val="00FC699C"/>
    <w:rsid w:val="00FC7861"/>
    <w:rsid w:val="00FC7F94"/>
    <w:rsid w:val="00FD0AD5"/>
    <w:rsid w:val="00FD115B"/>
    <w:rsid w:val="00FD1185"/>
    <w:rsid w:val="00FD2645"/>
    <w:rsid w:val="00FD4596"/>
    <w:rsid w:val="00FD4D11"/>
    <w:rsid w:val="00FD5C1B"/>
    <w:rsid w:val="00FD62B8"/>
    <w:rsid w:val="00FD62E2"/>
    <w:rsid w:val="00FD77B0"/>
    <w:rsid w:val="00FD7A59"/>
    <w:rsid w:val="00FE0C19"/>
    <w:rsid w:val="00FE2355"/>
    <w:rsid w:val="00FE37F3"/>
    <w:rsid w:val="00FE3B0E"/>
    <w:rsid w:val="00FE3FD3"/>
    <w:rsid w:val="00FE4217"/>
    <w:rsid w:val="00FE46EE"/>
    <w:rsid w:val="00FE50E1"/>
    <w:rsid w:val="00FE525F"/>
    <w:rsid w:val="00FE5298"/>
    <w:rsid w:val="00FE5CBC"/>
    <w:rsid w:val="00FE6164"/>
    <w:rsid w:val="00FE6B0A"/>
    <w:rsid w:val="00FE792C"/>
    <w:rsid w:val="00FE7FF1"/>
    <w:rsid w:val="00FF0684"/>
    <w:rsid w:val="00FF148F"/>
    <w:rsid w:val="00FF1572"/>
    <w:rsid w:val="00FF1F1E"/>
    <w:rsid w:val="00FF201E"/>
    <w:rsid w:val="00FF2FEA"/>
    <w:rsid w:val="00FF3230"/>
    <w:rsid w:val="00FF3371"/>
    <w:rsid w:val="00FF3D6D"/>
    <w:rsid w:val="00FF491A"/>
    <w:rsid w:val="00FF4E8D"/>
    <w:rsid w:val="00FF5523"/>
    <w:rsid w:val="00FF5549"/>
    <w:rsid w:val="00FF572D"/>
    <w:rsid w:val="00FF611D"/>
    <w:rsid w:val="00FF66C7"/>
    <w:rsid w:val="00FF6913"/>
    <w:rsid w:val="00FF6C33"/>
    <w:rsid w:val="00FF7E02"/>
    <w:rsid w:val="00FF7E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D15B095"/>
  <w15:docId w15:val="{18D56323-D07A-4EEF-BF81-6A7A3E8FC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86B"/>
    <w:pPr>
      <w:suppressAutoHyphens/>
    </w:pPr>
    <w:rPr>
      <w:rFonts w:ascii="Times New Roman" w:eastAsia="Times New Roman" w:hAnsi="Times New Roman" w:cs="Times New Roman"/>
      <w:sz w:val="24"/>
      <w:szCs w:val="24"/>
      <w:lang w:eastAsia="ar-SA"/>
    </w:rPr>
  </w:style>
  <w:style w:type="paragraph" w:styleId="Heading1">
    <w:name w:val="heading 1"/>
    <w:basedOn w:val="Normal"/>
    <w:next w:val="Normal"/>
    <w:link w:val="Heading1Char"/>
    <w:uiPriority w:val="9"/>
    <w:qFormat/>
    <w:rsid w:val="00AB76E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590ED0"/>
    <w:pPr>
      <w:keepNext/>
      <w:numPr>
        <w:ilvl w:val="1"/>
        <w:numId w:val="1"/>
      </w:numPr>
      <w:jc w:val="center"/>
      <w:outlineLvl w:val="1"/>
    </w:pPr>
    <w:rPr>
      <w:u w:val="single"/>
    </w:rPr>
  </w:style>
  <w:style w:type="paragraph" w:styleId="Heading3">
    <w:name w:val="heading 3"/>
    <w:basedOn w:val="Normal"/>
    <w:next w:val="Normal"/>
    <w:link w:val="Heading3Char"/>
    <w:qFormat/>
    <w:rsid w:val="00590ED0"/>
    <w:pPr>
      <w:keepNext/>
      <w:numPr>
        <w:ilvl w:val="2"/>
        <w:numId w:val="1"/>
      </w:numPr>
      <w:spacing w:line="480" w:lineRule="auto"/>
      <w:outlineLvl w:val="2"/>
    </w:pPr>
    <w:rPr>
      <w:b/>
      <w:bCs/>
      <w:szCs w:val="20"/>
    </w:rPr>
  </w:style>
  <w:style w:type="paragraph" w:styleId="Heading4">
    <w:name w:val="heading 4"/>
    <w:basedOn w:val="Normal"/>
    <w:next w:val="Normal"/>
    <w:link w:val="Heading4Char"/>
    <w:uiPriority w:val="9"/>
    <w:semiHidden/>
    <w:unhideWhenUsed/>
    <w:qFormat/>
    <w:rsid w:val="003A684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D7686B"/>
    <w:pPr>
      <w:suppressAutoHyphens w:val="0"/>
    </w:pPr>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rsid w:val="00D7686B"/>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D7686B"/>
    <w:rPr>
      <w:vertAlign w:val="superscript"/>
    </w:rPr>
  </w:style>
  <w:style w:type="paragraph" w:styleId="BalloonText">
    <w:name w:val="Balloon Text"/>
    <w:basedOn w:val="Normal"/>
    <w:link w:val="BalloonTextChar"/>
    <w:unhideWhenUsed/>
    <w:rsid w:val="00D7686B"/>
    <w:rPr>
      <w:rFonts w:ascii="Tahoma" w:hAnsi="Tahoma" w:cs="Tahoma"/>
      <w:sz w:val="16"/>
      <w:szCs w:val="16"/>
    </w:rPr>
  </w:style>
  <w:style w:type="character" w:customStyle="1" w:styleId="BalloonTextChar">
    <w:name w:val="Balloon Text Char"/>
    <w:basedOn w:val="DefaultParagraphFont"/>
    <w:link w:val="BalloonText"/>
    <w:uiPriority w:val="99"/>
    <w:semiHidden/>
    <w:rsid w:val="00D7686B"/>
    <w:rPr>
      <w:rFonts w:ascii="Tahoma" w:eastAsia="Times New Roman" w:hAnsi="Tahoma" w:cs="Tahoma"/>
      <w:sz w:val="16"/>
      <w:szCs w:val="16"/>
      <w:lang w:eastAsia="ar-SA"/>
    </w:rPr>
  </w:style>
  <w:style w:type="character" w:styleId="CommentReference">
    <w:name w:val="annotation reference"/>
    <w:basedOn w:val="DefaultParagraphFont"/>
    <w:unhideWhenUsed/>
    <w:rsid w:val="00732604"/>
    <w:rPr>
      <w:sz w:val="16"/>
      <w:szCs w:val="16"/>
    </w:rPr>
  </w:style>
  <w:style w:type="paragraph" w:styleId="CommentText">
    <w:name w:val="annotation text"/>
    <w:basedOn w:val="Normal"/>
    <w:link w:val="CommentTextChar"/>
    <w:uiPriority w:val="99"/>
    <w:unhideWhenUsed/>
    <w:rsid w:val="00732604"/>
    <w:rPr>
      <w:sz w:val="20"/>
      <w:szCs w:val="20"/>
    </w:rPr>
  </w:style>
  <w:style w:type="character" w:customStyle="1" w:styleId="CommentTextChar">
    <w:name w:val="Comment Text Char"/>
    <w:basedOn w:val="DefaultParagraphFont"/>
    <w:link w:val="CommentText"/>
    <w:uiPriority w:val="99"/>
    <w:rsid w:val="00732604"/>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nhideWhenUsed/>
    <w:rsid w:val="00732604"/>
    <w:rPr>
      <w:b/>
      <w:bCs/>
    </w:rPr>
  </w:style>
  <w:style w:type="character" w:customStyle="1" w:styleId="CommentSubjectChar">
    <w:name w:val="Comment Subject Char"/>
    <w:basedOn w:val="CommentTextChar"/>
    <w:link w:val="CommentSubject"/>
    <w:rsid w:val="00732604"/>
    <w:rPr>
      <w:rFonts w:ascii="Times New Roman" w:eastAsia="Times New Roman" w:hAnsi="Times New Roman" w:cs="Times New Roman"/>
      <w:b/>
      <w:bCs/>
      <w:sz w:val="20"/>
      <w:szCs w:val="20"/>
      <w:lang w:eastAsia="ar-SA"/>
    </w:rPr>
  </w:style>
  <w:style w:type="character" w:customStyle="1" w:styleId="Heading2Char">
    <w:name w:val="Heading 2 Char"/>
    <w:basedOn w:val="DefaultParagraphFont"/>
    <w:link w:val="Heading2"/>
    <w:rsid w:val="00590ED0"/>
    <w:rPr>
      <w:rFonts w:ascii="Times New Roman" w:eastAsia="Times New Roman" w:hAnsi="Times New Roman" w:cs="Times New Roman"/>
      <w:sz w:val="24"/>
      <w:szCs w:val="24"/>
      <w:u w:val="single"/>
      <w:lang w:eastAsia="ar-SA"/>
    </w:rPr>
  </w:style>
  <w:style w:type="character" w:customStyle="1" w:styleId="Heading3Char">
    <w:name w:val="Heading 3 Char"/>
    <w:basedOn w:val="DefaultParagraphFont"/>
    <w:link w:val="Heading3"/>
    <w:rsid w:val="00590ED0"/>
    <w:rPr>
      <w:rFonts w:ascii="Times New Roman" w:eastAsia="Times New Roman" w:hAnsi="Times New Roman" w:cs="Times New Roman"/>
      <w:b/>
      <w:bCs/>
      <w:sz w:val="24"/>
      <w:szCs w:val="20"/>
      <w:lang w:eastAsia="ar-SA"/>
    </w:rPr>
  </w:style>
  <w:style w:type="character" w:customStyle="1" w:styleId="Absatz-Standardschriftart">
    <w:name w:val="Absatz-Standardschriftart"/>
    <w:rsid w:val="00590ED0"/>
  </w:style>
  <w:style w:type="character" w:customStyle="1" w:styleId="WW-Absatz-Standardschriftart">
    <w:name w:val="WW-Absatz-Standardschriftart"/>
    <w:rsid w:val="00590ED0"/>
  </w:style>
  <w:style w:type="character" w:customStyle="1" w:styleId="WW-Absatz-Standardschriftart1">
    <w:name w:val="WW-Absatz-Standardschriftart1"/>
    <w:rsid w:val="00590ED0"/>
  </w:style>
  <w:style w:type="character" w:customStyle="1" w:styleId="WW8Num1z0">
    <w:name w:val="WW8Num1z0"/>
    <w:rsid w:val="00590ED0"/>
    <w:rPr>
      <w:rFonts w:ascii="Symbol" w:eastAsia="Times New Roman" w:hAnsi="Symbol" w:cs="Times New Roman"/>
    </w:rPr>
  </w:style>
  <w:style w:type="character" w:customStyle="1" w:styleId="WW8Num1z1">
    <w:name w:val="WW8Num1z1"/>
    <w:rsid w:val="00590ED0"/>
    <w:rPr>
      <w:rFonts w:ascii="Courier New" w:hAnsi="Courier New" w:cs="Courier New"/>
    </w:rPr>
  </w:style>
  <w:style w:type="character" w:customStyle="1" w:styleId="WW8Num1z2">
    <w:name w:val="WW8Num1z2"/>
    <w:rsid w:val="00590ED0"/>
    <w:rPr>
      <w:rFonts w:ascii="Wingdings" w:hAnsi="Wingdings"/>
    </w:rPr>
  </w:style>
  <w:style w:type="character" w:customStyle="1" w:styleId="WW8Num1z3">
    <w:name w:val="WW8Num1z3"/>
    <w:rsid w:val="00590ED0"/>
    <w:rPr>
      <w:rFonts w:ascii="Symbol" w:hAnsi="Symbol"/>
    </w:rPr>
  </w:style>
  <w:style w:type="character" w:customStyle="1" w:styleId="DefaultParagraphFont1">
    <w:name w:val="Default Paragraph Font1"/>
    <w:rsid w:val="00590ED0"/>
  </w:style>
  <w:style w:type="character" w:styleId="PageNumber">
    <w:name w:val="page number"/>
    <w:basedOn w:val="DefaultParagraphFont1"/>
    <w:rsid w:val="00590ED0"/>
  </w:style>
  <w:style w:type="character" w:customStyle="1" w:styleId="BodyTextChar">
    <w:name w:val="Body Text Char"/>
    <w:rsid w:val="00590ED0"/>
    <w:rPr>
      <w:b/>
      <w:bCs/>
      <w:sz w:val="24"/>
      <w:szCs w:val="24"/>
    </w:rPr>
  </w:style>
  <w:style w:type="character" w:customStyle="1" w:styleId="HeaderChar">
    <w:name w:val="Header Char"/>
    <w:rsid w:val="00590ED0"/>
    <w:rPr>
      <w:sz w:val="24"/>
      <w:szCs w:val="24"/>
    </w:rPr>
  </w:style>
  <w:style w:type="character" w:styleId="Hyperlink">
    <w:name w:val="Hyperlink"/>
    <w:uiPriority w:val="99"/>
    <w:rsid w:val="00590ED0"/>
    <w:rPr>
      <w:color w:val="0000FF"/>
      <w:u w:val="single"/>
    </w:rPr>
  </w:style>
  <w:style w:type="character" w:customStyle="1" w:styleId="FooterChar">
    <w:name w:val="Footer Char"/>
    <w:rsid w:val="00590ED0"/>
    <w:rPr>
      <w:sz w:val="24"/>
      <w:szCs w:val="24"/>
    </w:rPr>
  </w:style>
  <w:style w:type="paragraph" w:customStyle="1" w:styleId="Heading">
    <w:name w:val="Heading"/>
    <w:basedOn w:val="Normal"/>
    <w:next w:val="BodyText"/>
    <w:rsid w:val="00590ED0"/>
    <w:pPr>
      <w:keepNext/>
      <w:spacing w:before="240" w:after="120"/>
    </w:pPr>
    <w:rPr>
      <w:rFonts w:ascii="Arial" w:eastAsia="Arial" w:hAnsi="Arial" w:cs="Tahoma"/>
      <w:sz w:val="28"/>
      <w:szCs w:val="28"/>
    </w:rPr>
  </w:style>
  <w:style w:type="paragraph" w:styleId="BodyText">
    <w:name w:val="Body Text"/>
    <w:basedOn w:val="Normal"/>
    <w:link w:val="BodyTextChar1"/>
    <w:rsid w:val="00590ED0"/>
    <w:pPr>
      <w:spacing w:line="480" w:lineRule="auto"/>
      <w:jc w:val="center"/>
    </w:pPr>
    <w:rPr>
      <w:b/>
      <w:bCs/>
    </w:rPr>
  </w:style>
  <w:style w:type="character" w:customStyle="1" w:styleId="BodyTextChar1">
    <w:name w:val="Body Text Char1"/>
    <w:basedOn w:val="DefaultParagraphFont"/>
    <w:link w:val="BodyText"/>
    <w:rsid w:val="00590ED0"/>
    <w:rPr>
      <w:rFonts w:ascii="Times New Roman" w:eastAsia="Times New Roman" w:hAnsi="Times New Roman" w:cs="Times New Roman"/>
      <w:b/>
      <w:bCs/>
      <w:sz w:val="24"/>
      <w:szCs w:val="24"/>
      <w:lang w:eastAsia="ar-SA"/>
    </w:rPr>
  </w:style>
  <w:style w:type="paragraph" w:styleId="List">
    <w:name w:val="List"/>
    <w:basedOn w:val="BodyText"/>
    <w:rsid w:val="00590ED0"/>
    <w:rPr>
      <w:rFonts w:cs="Tahoma"/>
    </w:rPr>
  </w:style>
  <w:style w:type="paragraph" w:styleId="Caption">
    <w:name w:val="caption"/>
    <w:basedOn w:val="Normal"/>
    <w:qFormat/>
    <w:rsid w:val="00590ED0"/>
    <w:pPr>
      <w:suppressLineNumbers/>
      <w:spacing w:before="120" w:after="120"/>
    </w:pPr>
    <w:rPr>
      <w:rFonts w:cs="Tahoma"/>
      <w:i/>
      <w:iCs/>
    </w:rPr>
  </w:style>
  <w:style w:type="paragraph" w:customStyle="1" w:styleId="Index">
    <w:name w:val="Index"/>
    <w:basedOn w:val="Normal"/>
    <w:rsid w:val="00590ED0"/>
    <w:pPr>
      <w:suppressLineNumbers/>
    </w:pPr>
    <w:rPr>
      <w:rFonts w:cs="Tahoma"/>
    </w:rPr>
  </w:style>
  <w:style w:type="paragraph" w:styleId="Header">
    <w:name w:val="header"/>
    <w:basedOn w:val="Normal"/>
    <w:link w:val="HeaderChar1"/>
    <w:rsid w:val="00590ED0"/>
    <w:pPr>
      <w:tabs>
        <w:tab w:val="center" w:pos="4320"/>
        <w:tab w:val="right" w:pos="8640"/>
      </w:tabs>
    </w:pPr>
  </w:style>
  <w:style w:type="character" w:customStyle="1" w:styleId="HeaderChar1">
    <w:name w:val="Header Char1"/>
    <w:basedOn w:val="DefaultParagraphFont"/>
    <w:link w:val="Header"/>
    <w:uiPriority w:val="99"/>
    <w:rsid w:val="00590ED0"/>
    <w:rPr>
      <w:rFonts w:ascii="Times New Roman" w:eastAsia="Times New Roman" w:hAnsi="Times New Roman" w:cs="Times New Roman"/>
      <w:sz w:val="24"/>
      <w:szCs w:val="24"/>
      <w:lang w:eastAsia="ar-SA"/>
    </w:rPr>
  </w:style>
  <w:style w:type="paragraph" w:styleId="Footer">
    <w:name w:val="footer"/>
    <w:basedOn w:val="Normal"/>
    <w:link w:val="FooterChar1"/>
    <w:rsid w:val="00590ED0"/>
    <w:pPr>
      <w:tabs>
        <w:tab w:val="center" w:pos="4680"/>
        <w:tab w:val="right" w:pos="9360"/>
      </w:tabs>
    </w:pPr>
  </w:style>
  <w:style w:type="character" w:customStyle="1" w:styleId="FooterChar1">
    <w:name w:val="Footer Char1"/>
    <w:basedOn w:val="DefaultParagraphFont"/>
    <w:link w:val="Footer"/>
    <w:rsid w:val="00590ED0"/>
    <w:rPr>
      <w:rFonts w:ascii="Times New Roman" w:eastAsia="Times New Roman" w:hAnsi="Times New Roman" w:cs="Times New Roman"/>
      <w:sz w:val="24"/>
      <w:szCs w:val="24"/>
      <w:lang w:eastAsia="ar-SA"/>
    </w:rPr>
  </w:style>
  <w:style w:type="paragraph" w:customStyle="1" w:styleId="TableContents">
    <w:name w:val="Table Contents"/>
    <w:basedOn w:val="Normal"/>
    <w:rsid w:val="00590ED0"/>
    <w:pPr>
      <w:suppressLineNumbers/>
    </w:pPr>
  </w:style>
  <w:style w:type="paragraph" w:customStyle="1" w:styleId="TableHeading">
    <w:name w:val="Table Heading"/>
    <w:basedOn w:val="TableContents"/>
    <w:rsid w:val="00590ED0"/>
    <w:pPr>
      <w:jc w:val="center"/>
    </w:pPr>
    <w:rPr>
      <w:b/>
      <w:bCs/>
    </w:rPr>
  </w:style>
  <w:style w:type="paragraph" w:customStyle="1" w:styleId="Framecontents">
    <w:name w:val="Frame contents"/>
    <w:basedOn w:val="BodyText"/>
    <w:rsid w:val="00590ED0"/>
  </w:style>
  <w:style w:type="paragraph" w:styleId="PlainText">
    <w:name w:val="Plain Text"/>
    <w:basedOn w:val="Normal"/>
    <w:link w:val="PlainTextChar"/>
    <w:uiPriority w:val="99"/>
    <w:unhideWhenUsed/>
    <w:rsid w:val="00590ED0"/>
    <w:pPr>
      <w:suppressAutoHyphens w:val="0"/>
    </w:pPr>
    <w:rPr>
      <w:rFonts w:ascii="Consolas" w:eastAsia="Calibri" w:hAnsi="Consolas"/>
      <w:sz w:val="21"/>
      <w:szCs w:val="21"/>
      <w:lang w:eastAsia="en-US"/>
    </w:rPr>
  </w:style>
  <w:style w:type="character" w:customStyle="1" w:styleId="PlainTextChar">
    <w:name w:val="Plain Text Char"/>
    <w:basedOn w:val="DefaultParagraphFont"/>
    <w:link w:val="PlainText"/>
    <w:uiPriority w:val="99"/>
    <w:rsid w:val="00590ED0"/>
    <w:rPr>
      <w:rFonts w:ascii="Consolas" w:eastAsia="Calibri" w:hAnsi="Consolas" w:cs="Times New Roman"/>
      <w:sz w:val="21"/>
      <w:szCs w:val="21"/>
    </w:rPr>
  </w:style>
  <w:style w:type="character" w:customStyle="1" w:styleId="apple-style-span">
    <w:name w:val="apple-style-span"/>
    <w:basedOn w:val="DefaultParagraphFont"/>
    <w:rsid w:val="00590ED0"/>
  </w:style>
  <w:style w:type="table" w:styleId="TableGrid">
    <w:name w:val="Table Grid"/>
    <w:basedOn w:val="TableNormal"/>
    <w:uiPriority w:val="59"/>
    <w:rsid w:val="00590ED0"/>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90ED0"/>
    <w:rPr>
      <w:rFonts w:ascii="Times New Roman" w:eastAsia="Times New Roman" w:hAnsi="Times New Roman" w:cs="Times New Roman"/>
      <w:sz w:val="24"/>
      <w:szCs w:val="24"/>
      <w:lang w:eastAsia="ar-SA"/>
    </w:rPr>
  </w:style>
  <w:style w:type="paragraph" w:customStyle="1" w:styleId="APAFirst-levelheading">
    <w:name w:val="APA First-level heading"/>
    <w:rsid w:val="00590ED0"/>
    <w:pPr>
      <w:suppressAutoHyphens/>
      <w:spacing w:line="480" w:lineRule="auto"/>
      <w:jc w:val="center"/>
    </w:pPr>
    <w:rPr>
      <w:rFonts w:ascii="Times New Roman" w:eastAsia="Arial" w:hAnsi="Times New Roman" w:cs="Times New Roman"/>
      <w:b/>
      <w:sz w:val="24"/>
      <w:szCs w:val="24"/>
      <w:lang w:eastAsia="ar-SA"/>
    </w:rPr>
  </w:style>
  <w:style w:type="character" w:styleId="PlaceholderText">
    <w:name w:val="Placeholder Text"/>
    <w:uiPriority w:val="99"/>
    <w:semiHidden/>
    <w:rsid w:val="00590ED0"/>
    <w:rPr>
      <w:color w:val="808080"/>
    </w:rPr>
  </w:style>
  <w:style w:type="paragraph" w:customStyle="1" w:styleId="CM25">
    <w:name w:val="CM25"/>
    <w:basedOn w:val="Normal"/>
    <w:next w:val="Normal"/>
    <w:uiPriority w:val="99"/>
    <w:rsid w:val="00590ED0"/>
    <w:pPr>
      <w:widowControl w:val="0"/>
      <w:suppressAutoHyphens w:val="0"/>
      <w:autoSpaceDE w:val="0"/>
      <w:autoSpaceDN w:val="0"/>
      <w:adjustRightInd w:val="0"/>
    </w:pPr>
    <w:rPr>
      <w:rFonts w:ascii="Verdana,Bold" w:hAnsi="Verdana,Bold"/>
      <w:lang w:eastAsia="en-US"/>
    </w:rPr>
  </w:style>
  <w:style w:type="character" w:customStyle="1" w:styleId="element-citation">
    <w:name w:val="element-citation"/>
    <w:basedOn w:val="DefaultParagraphFont"/>
    <w:rsid w:val="00590ED0"/>
  </w:style>
  <w:style w:type="character" w:customStyle="1" w:styleId="apple-converted-space">
    <w:name w:val="apple-converted-space"/>
    <w:basedOn w:val="DefaultParagraphFont"/>
    <w:rsid w:val="00590ED0"/>
  </w:style>
  <w:style w:type="paragraph" w:styleId="ListParagraph">
    <w:name w:val="List Paragraph"/>
    <w:basedOn w:val="Normal"/>
    <w:uiPriority w:val="34"/>
    <w:qFormat/>
    <w:rsid w:val="00590ED0"/>
    <w:pPr>
      <w:ind w:left="720"/>
      <w:contextualSpacing/>
    </w:pPr>
  </w:style>
  <w:style w:type="paragraph" w:customStyle="1" w:styleId="APATitel">
    <w:name w:val="APA Titel"/>
    <w:rsid w:val="00590ED0"/>
    <w:pPr>
      <w:suppressAutoHyphens/>
      <w:spacing w:line="480" w:lineRule="auto"/>
      <w:jc w:val="center"/>
    </w:pPr>
    <w:rPr>
      <w:rFonts w:ascii="Times New Roman" w:eastAsia="Arial" w:hAnsi="Times New Roman" w:cs="Times New Roman"/>
      <w:sz w:val="24"/>
      <w:szCs w:val="24"/>
      <w:lang w:val="en-GB" w:eastAsia="ar-SA"/>
    </w:rPr>
  </w:style>
  <w:style w:type="paragraph" w:customStyle="1" w:styleId="EndNoteBibliography">
    <w:name w:val="EndNote Bibliography"/>
    <w:basedOn w:val="Normal"/>
    <w:link w:val="EndNoteBibliographyChar"/>
    <w:rsid w:val="00C939CC"/>
    <w:pPr>
      <w:suppressAutoHyphens w:val="0"/>
      <w:spacing w:after="200"/>
    </w:pPr>
    <w:rPr>
      <w:rFonts w:ascii="Calibri" w:eastAsiaTheme="minorHAnsi" w:hAnsi="Calibri" w:cstheme="minorBidi"/>
      <w:noProof/>
      <w:sz w:val="22"/>
      <w:szCs w:val="22"/>
      <w:lang w:eastAsia="en-US"/>
    </w:rPr>
  </w:style>
  <w:style w:type="character" w:customStyle="1" w:styleId="EndNoteBibliographyChar">
    <w:name w:val="EndNote Bibliography Char"/>
    <w:basedOn w:val="DefaultParagraphFont"/>
    <w:link w:val="EndNoteBibliography"/>
    <w:rsid w:val="00C939CC"/>
    <w:rPr>
      <w:rFonts w:ascii="Calibri" w:hAnsi="Calibri"/>
      <w:noProof/>
    </w:rPr>
  </w:style>
  <w:style w:type="character" w:customStyle="1" w:styleId="Heading1Char">
    <w:name w:val="Heading 1 Char"/>
    <w:basedOn w:val="DefaultParagraphFont"/>
    <w:link w:val="Heading1"/>
    <w:uiPriority w:val="9"/>
    <w:rsid w:val="00AB76EF"/>
    <w:rPr>
      <w:rFonts w:asciiTheme="majorHAnsi" w:eastAsiaTheme="majorEastAsia" w:hAnsiTheme="majorHAnsi" w:cstheme="majorBidi"/>
      <w:color w:val="365F91" w:themeColor="accent1" w:themeShade="BF"/>
      <w:sz w:val="32"/>
      <w:szCs w:val="32"/>
      <w:lang w:eastAsia="ar-SA"/>
    </w:rPr>
  </w:style>
  <w:style w:type="character" w:styleId="FollowedHyperlink">
    <w:name w:val="FollowedHyperlink"/>
    <w:basedOn w:val="DefaultParagraphFont"/>
    <w:uiPriority w:val="99"/>
    <w:semiHidden/>
    <w:unhideWhenUsed/>
    <w:rsid w:val="004C0366"/>
    <w:rPr>
      <w:color w:val="800080" w:themeColor="followedHyperlink"/>
      <w:u w:val="single"/>
    </w:rPr>
  </w:style>
  <w:style w:type="character" w:customStyle="1" w:styleId="spelle">
    <w:name w:val="spelle"/>
    <w:basedOn w:val="DefaultParagraphFont"/>
    <w:rsid w:val="003152AD"/>
  </w:style>
  <w:style w:type="character" w:customStyle="1" w:styleId="style1">
    <w:name w:val="style1"/>
    <w:basedOn w:val="DefaultParagraphFont"/>
    <w:rsid w:val="003152AD"/>
  </w:style>
  <w:style w:type="character" w:customStyle="1" w:styleId="WW8Num8z0">
    <w:name w:val="WW8Num8z0"/>
    <w:rsid w:val="004F6B8E"/>
    <w:rPr>
      <w:rFonts w:ascii="Symbol" w:hAnsi="Symbol"/>
    </w:rPr>
  </w:style>
  <w:style w:type="paragraph" w:styleId="EndnoteText">
    <w:name w:val="endnote text"/>
    <w:basedOn w:val="Normal"/>
    <w:link w:val="EndnoteTextChar"/>
    <w:uiPriority w:val="99"/>
    <w:unhideWhenUsed/>
    <w:rsid w:val="00484604"/>
    <w:rPr>
      <w:sz w:val="20"/>
      <w:szCs w:val="20"/>
    </w:rPr>
  </w:style>
  <w:style w:type="character" w:customStyle="1" w:styleId="EndnoteTextChar">
    <w:name w:val="Endnote Text Char"/>
    <w:basedOn w:val="DefaultParagraphFont"/>
    <w:link w:val="EndnoteText"/>
    <w:uiPriority w:val="99"/>
    <w:rsid w:val="00484604"/>
    <w:rPr>
      <w:rFonts w:ascii="Times New Roman" w:eastAsia="Times New Roman" w:hAnsi="Times New Roman" w:cs="Times New Roman"/>
      <w:sz w:val="20"/>
      <w:szCs w:val="20"/>
      <w:lang w:eastAsia="ar-SA"/>
    </w:rPr>
  </w:style>
  <w:style w:type="character" w:styleId="EndnoteReference">
    <w:name w:val="endnote reference"/>
    <w:basedOn w:val="DefaultParagraphFont"/>
    <w:uiPriority w:val="99"/>
    <w:semiHidden/>
    <w:unhideWhenUsed/>
    <w:rsid w:val="00484604"/>
    <w:rPr>
      <w:vertAlign w:val="superscript"/>
    </w:rPr>
  </w:style>
  <w:style w:type="character" w:customStyle="1" w:styleId="WW8Num6z0">
    <w:name w:val="WW8Num6z0"/>
    <w:rsid w:val="00C06014"/>
    <w:rPr>
      <w:rFonts w:ascii="Symbol" w:hAnsi="Symbol"/>
    </w:rPr>
  </w:style>
  <w:style w:type="character" w:customStyle="1" w:styleId="WW8Num7z0">
    <w:name w:val="WW8Num7z0"/>
    <w:rsid w:val="00C06014"/>
    <w:rPr>
      <w:rFonts w:ascii="Symbol" w:hAnsi="Symbol"/>
    </w:rPr>
  </w:style>
  <w:style w:type="character" w:customStyle="1" w:styleId="WW8Num9z0">
    <w:name w:val="WW8Num9z0"/>
    <w:rsid w:val="00C06014"/>
    <w:rPr>
      <w:rFonts w:ascii="Symbol" w:hAnsi="Symbol"/>
    </w:rPr>
  </w:style>
  <w:style w:type="character" w:customStyle="1" w:styleId="WW8Num11z0">
    <w:name w:val="WW8Num11z0"/>
    <w:rsid w:val="00C06014"/>
    <w:rPr>
      <w:rFonts w:ascii="Symbol" w:hAnsi="Symbol"/>
    </w:rPr>
  </w:style>
  <w:style w:type="character" w:customStyle="1" w:styleId="medium-font">
    <w:name w:val="medium-font"/>
    <w:basedOn w:val="DefaultParagraphFont"/>
    <w:rsid w:val="00C06014"/>
  </w:style>
  <w:style w:type="paragraph" w:styleId="NormalWeb">
    <w:name w:val="Normal (Web)"/>
    <w:basedOn w:val="Normal"/>
    <w:rsid w:val="00C06014"/>
    <w:pPr>
      <w:spacing w:before="150" w:after="150"/>
    </w:pPr>
    <w:rPr>
      <w:rFonts w:cs="Calibri"/>
    </w:rPr>
  </w:style>
  <w:style w:type="paragraph" w:customStyle="1" w:styleId="Pa01">
    <w:name w:val="Pa0+1"/>
    <w:basedOn w:val="Normal"/>
    <w:next w:val="Normal"/>
    <w:rsid w:val="00C06014"/>
    <w:pPr>
      <w:autoSpaceDE w:val="0"/>
      <w:spacing w:line="241" w:lineRule="atLeast"/>
    </w:pPr>
    <w:rPr>
      <w:rFonts w:ascii="Lucida" w:eastAsia="Calibri" w:hAnsi="Lucida" w:cs="Calibri"/>
    </w:rPr>
  </w:style>
  <w:style w:type="paragraph" w:customStyle="1" w:styleId="Default">
    <w:name w:val="Default"/>
    <w:rsid w:val="00C06014"/>
    <w:pPr>
      <w:autoSpaceDE w:val="0"/>
      <w:autoSpaceDN w:val="0"/>
      <w:adjustRightInd w:val="0"/>
    </w:pPr>
    <w:rPr>
      <w:rFonts w:ascii="Trebuchet MS" w:hAnsi="Trebuchet MS" w:cs="Trebuchet MS"/>
      <w:color w:val="000000"/>
      <w:sz w:val="24"/>
      <w:szCs w:val="24"/>
    </w:rPr>
  </w:style>
  <w:style w:type="paragraph" w:customStyle="1" w:styleId="APAStandard">
    <w:name w:val="APA Standard"/>
    <w:rsid w:val="00C06014"/>
    <w:pPr>
      <w:suppressAutoHyphens/>
      <w:spacing w:line="480" w:lineRule="auto"/>
      <w:ind w:firstLine="709"/>
    </w:pPr>
    <w:rPr>
      <w:rFonts w:ascii="Times New Roman" w:eastAsia="Arial" w:hAnsi="Times New Roman" w:cs="Times New Roman"/>
      <w:sz w:val="24"/>
      <w:szCs w:val="24"/>
      <w:lang w:eastAsia="ar-SA"/>
    </w:rPr>
  </w:style>
  <w:style w:type="paragraph" w:customStyle="1" w:styleId="JOMStyle">
    <w:name w:val="JOM Style"/>
    <w:basedOn w:val="EndnoteText"/>
    <w:link w:val="JOMStyleChar"/>
    <w:autoRedefine/>
    <w:qFormat/>
    <w:rsid w:val="00D472AB"/>
    <w:pPr>
      <w:spacing w:line="480" w:lineRule="auto"/>
    </w:pPr>
    <w:rPr>
      <w:sz w:val="24"/>
      <w:szCs w:val="24"/>
    </w:rPr>
  </w:style>
  <w:style w:type="character" w:customStyle="1" w:styleId="JOMStyleChar">
    <w:name w:val="JOM Style Char"/>
    <w:basedOn w:val="EndnoteTextChar"/>
    <w:link w:val="JOMStyle"/>
    <w:rsid w:val="00D472AB"/>
    <w:rPr>
      <w:rFonts w:ascii="Times New Roman" w:eastAsia="Times New Roman" w:hAnsi="Times New Roman" w:cs="Times New Roman"/>
      <w:sz w:val="24"/>
      <w:szCs w:val="24"/>
      <w:lang w:eastAsia="ar-SA"/>
    </w:rPr>
  </w:style>
  <w:style w:type="character" w:customStyle="1" w:styleId="Heading4Char">
    <w:name w:val="Heading 4 Char"/>
    <w:basedOn w:val="DefaultParagraphFont"/>
    <w:link w:val="Heading4"/>
    <w:uiPriority w:val="9"/>
    <w:semiHidden/>
    <w:rsid w:val="003A684C"/>
    <w:rPr>
      <w:rFonts w:asciiTheme="majorHAnsi" w:eastAsiaTheme="majorEastAsia" w:hAnsiTheme="majorHAnsi" w:cstheme="majorBidi"/>
      <w:i/>
      <w:iCs/>
      <w:color w:val="365F91" w:themeColor="accent1" w:themeShade="BF"/>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3360">
      <w:bodyDiv w:val="1"/>
      <w:marLeft w:val="0"/>
      <w:marRight w:val="0"/>
      <w:marTop w:val="0"/>
      <w:marBottom w:val="0"/>
      <w:divBdr>
        <w:top w:val="none" w:sz="0" w:space="0" w:color="auto"/>
        <w:left w:val="none" w:sz="0" w:space="0" w:color="auto"/>
        <w:bottom w:val="none" w:sz="0" w:space="0" w:color="auto"/>
        <w:right w:val="none" w:sz="0" w:space="0" w:color="auto"/>
      </w:divBdr>
    </w:div>
    <w:div w:id="136534385">
      <w:bodyDiv w:val="1"/>
      <w:marLeft w:val="0"/>
      <w:marRight w:val="0"/>
      <w:marTop w:val="0"/>
      <w:marBottom w:val="0"/>
      <w:divBdr>
        <w:top w:val="none" w:sz="0" w:space="0" w:color="auto"/>
        <w:left w:val="none" w:sz="0" w:space="0" w:color="auto"/>
        <w:bottom w:val="none" w:sz="0" w:space="0" w:color="auto"/>
        <w:right w:val="none" w:sz="0" w:space="0" w:color="auto"/>
      </w:divBdr>
    </w:div>
    <w:div w:id="219904999">
      <w:bodyDiv w:val="1"/>
      <w:marLeft w:val="0"/>
      <w:marRight w:val="0"/>
      <w:marTop w:val="0"/>
      <w:marBottom w:val="0"/>
      <w:divBdr>
        <w:top w:val="none" w:sz="0" w:space="0" w:color="auto"/>
        <w:left w:val="none" w:sz="0" w:space="0" w:color="auto"/>
        <w:bottom w:val="none" w:sz="0" w:space="0" w:color="auto"/>
        <w:right w:val="none" w:sz="0" w:space="0" w:color="auto"/>
      </w:divBdr>
      <w:divsChild>
        <w:div w:id="1394621381">
          <w:marLeft w:val="0"/>
          <w:marRight w:val="0"/>
          <w:marTop w:val="0"/>
          <w:marBottom w:val="0"/>
          <w:divBdr>
            <w:top w:val="none" w:sz="0" w:space="0" w:color="auto"/>
            <w:left w:val="none" w:sz="0" w:space="0" w:color="auto"/>
            <w:bottom w:val="none" w:sz="0" w:space="0" w:color="auto"/>
            <w:right w:val="none" w:sz="0" w:space="0" w:color="auto"/>
          </w:divBdr>
          <w:divsChild>
            <w:div w:id="1729957187">
              <w:marLeft w:val="0"/>
              <w:marRight w:val="0"/>
              <w:marTop w:val="0"/>
              <w:marBottom w:val="0"/>
              <w:divBdr>
                <w:top w:val="none" w:sz="0" w:space="0" w:color="auto"/>
                <w:left w:val="none" w:sz="0" w:space="0" w:color="auto"/>
                <w:bottom w:val="none" w:sz="0" w:space="0" w:color="auto"/>
                <w:right w:val="none" w:sz="0" w:space="0" w:color="auto"/>
              </w:divBdr>
            </w:div>
          </w:divsChild>
        </w:div>
        <w:div w:id="1728794352">
          <w:marLeft w:val="0"/>
          <w:marRight w:val="0"/>
          <w:marTop w:val="0"/>
          <w:marBottom w:val="0"/>
          <w:divBdr>
            <w:top w:val="none" w:sz="0" w:space="0" w:color="auto"/>
            <w:left w:val="none" w:sz="0" w:space="0" w:color="auto"/>
            <w:bottom w:val="none" w:sz="0" w:space="0" w:color="auto"/>
            <w:right w:val="none" w:sz="0" w:space="0" w:color="auto"/>
          </w:divBdr>
          <w:divsChild>
            <w:div w:id="1554581941">
              <w:marLeft w:val="0"/>
              <w:marRight w:val="0"/>
              <w:marTop w:val="0"/>
              <w:marBottom w:val="0"/>
              <w:divBdr>
                <w:top w:val="none" w:sz="0" w:space="0" w:color="auto"/>
                <w:left w:val="none" w:sz="0" w:space="0" w:color="auto"/>
                <w:bottom w:val="none" w:sz="0" w:space="0" w:color="auto"/>
                <w:right w:val="none" w:sz="0" w:space="0" w:color="auto"/>
              </w:divBdr>
              <w:divsChild>
                <w:div w:id="136147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008111">
      <w:bodyDiv w:val="1"/>
      <w:marLeft w:val="0"/>
      <w:marRight w:val="0"/>
      <w:marTop w:val="0"/>
      <w:marBottom w:val="0"/>
      <w:divBdr>
        <w:top w:val="none" w:sz="0" w:space="0" w:color="auto"/>
        <w:left w:val="none" w:sz="0" w:space="0" w:color="auto"/>
        <w:bottom w:val="none" w:sz="0" w:space="0" w:color="auto"/>
        <w:right w:val="none" w:sz="0" w:space="0" w:color="auto"/>
      </w:divBdr>
      <w:divsChild>
        <w:div w:id="290325368">
          <w:marLeft w:val="0"/>
          <w:marRight w:val="0"/>
          <w:marTop w:val="0"/>
          <w:marBottom w:val="0"/>
          <w:divBdr>
            <w:top w:val="none" w:sz="0" w:space="0" w:color="auto"/>
            <w:left w:val="none" w:sz="0" w:space="0" w:color="auto"/>
            <w:bottom w:val="none" w:sz="0" w:space="0" w:color="auto"/>
            <w:right w:val="none" w:sz="0" w:space="0" w:color="auto"/>
          </w:divBdr>
        </w:div>
        <w:div w:id="708804201">
          <w:marLeft w:val="0"/>
          <w:marRight w:val="0"/>
          <w:marTop w:val="0"/>
          <w:marBottom w:val="0"/>
          <w:divBdr>
            <w:top w:val="none" w:sz="0" w:space="0" w:color="auto"/>
            <w:left w:val="none" w:sz="0" w:space="0" w:color="auto"/>
            <w:bottom w:val="none" w:sz="0" w:space="0" w:color="auto"/>
            <w:right w:val="none" w:sz="0" w:space="0" w:color="auto"/>
          </w:divBdr>
        </w:div>
        <w:div w:id="750615828">
          <w:marLeft w:val="0"/>
          <w:marRight w:val="0"/>
          <w:marTop w:val="0"/>
          <w:marBottom w:val="0"/>
          <w:divBdr>
            <w:top w:val="none" w:sz="0" w:space="0" w:color="auto"/>
            <w:left w:val="none" w:sz="0" w:space="0" w:color="auto"/>
            <w:bottom w:val="none" w:sz="0" w:space="0" w:color="auto"/>
            <w:right w:val="none" w:sz="0" w:space="0" w:color="auto"/>
          </w:divBdr>
        </w:div>
        <w:div w:id="780955166">
          <w:marLeft w:val="0"/>
          <w:marRight w:val="0"/>
          <w:marTop w:val="0"/>
          <w:marBottom w:val="0"/>
          <w:divBdr>
            <w:top w:val="none" w:sz="0" w:space="0" w:color="auto"/>
            <w:left w:val="none" w:sz="0" w:space="0" w:color="auto"/>
            <w:bottom w:val="none" w:sz="0" w:space="0" w:color="auto"/>
            <w:right w:val="none" w:sz="0" w:space="0" w:color="auto"/>
          </w:divBdr>
        </w:div>
        <w:div w:id="832065202">
          <w:marLeft w:val="0"/>
          <w:marRight w:val="0"/>
          <w:marTop w:val="0"/>
          <w:marBottom w:val="0"/>
          <w:divBdr>
            <w:top w:val="none" w:sz="0" w:space="0" w:color="auto"/>
            <w:left w:val="none" w:sz="0" w:space="0" w:color="auto"/>
            <w:bottom w:val="none" w:sz="0" w:space="0" w:color="auto"/>
            <w:right w:val="none" w:sz="0" w:space="0" w:color="auto"/>
          </w:divBdr>
        </w:div>
        <w:div w:id="1122378891">
          <w:marLeft w:val="0"/>
          <w:marRight w:val="0"/>
          <w:marTop w:val="0"/>
          <w:marBottom w:val="0"/>
          <w:divBdr>
            <w:top w:val="none" w:sz="0" w:space="0" w:color="auto"/>
            <w:left w:val="none" w:sz="0" w:space="0" w:color="auto"/>
            <w:bottom w:val="none" w:sz="0" w:space="0" w:color="auto"/>
            <w:right w:val="none" w:sz="0" w:space="0" w:color="auto"/>
          </w:divBdr>
        </w:div>
        <w:div w:id="1857772306">
          <w:marLeft w:val="0"/>
          <w:marRight w:val="0"/>
          <w:marTop w:val="0"/>
          <w:marBottom w:val="0"/>
          <w:divBdr>
            <w:top w:val="none" w:sz="0" w:space="0" w:color="auto"/>
            <w:left w:val="none" w:sz="0" w:space="0" w:color="auto"/>
            <w:bottom w:val="none" w:sz="0" w:space="0" w:color="auto"/>
            <w:right w:val="none" w:sz="0" w:space="0" w:color="auto"/>
          </w:divBdr>
        </w:div>
        <w:div w:id="1957905440">
          <w:marLeft w:val="0"/>
          <w:marRight w:val="0"/>
          <w:marTop w:val="0"/>
          <w:marBottom w:val="0"/>
          <w:divBdr>
            <w:top w:val="none" w:sz="0" w:space="0" w:color="auto"/>
            <w:left w:val="none" w:sz="0" w:space="0" w:color="auto"/>
            <w:bottom w:val="none" w:sz="0" w:space="0" w:color="auto"/>
            <w:right w:val="none" w:sz="0" w:space="0" w:color="auto"/>
          </w:divBdr>
        </w:div>
        <w:div w:id="2054377146">
          <w:marLeft w:val="0"/>
          <w:marRight w:val="0"/>
          <w:marTop w:val="0"/>
          <w:marBottom w:val="0"/>
          <w:divBdr>
            <w:top w:val="none" w:sz="0" w:space="0" w:color="auto"/>
            <w:left w:val="none" w:sz="0" w:space="0" w:color="auto"/>
            <w:bottom w:val="none" w:sz="0" w:space="0" w:color="auto"/>
            <w:right w:val="none" w:sz="0" w:space="0" w:color="auto"/>
          </w:divBdr>
        </w:div>
      </w:divsChild>
    </w:div>
    <w:div w:id="396324605">
      <w:bodyDiv w:val="1"/>
      <w:marLeft w:val="0"/>
      <w:marRight w:val="0"/>
      <w:marTop w:val="0"/>
      <w:marBottom w:val="0"/>
      <w:divBdr>
        <w:top w:val="none" w:sz="0" w:space="0" w:color="auto"/>
        <w:left w:val="none" w:sz="0" w:space="0" w:color="auto"/>
        <w:bottom w:val="none" w:sz="0" w:space="0" w:color="auto"/>
        <w:right w:val="none" w:sz="0" w:space="0" w:color="auto"/>
      </w:divBdr>
    </w:div>
    <w:div w:id="490562057">
      <w:bodyDiv w:val="1"/>
      <w:marLeft w:val="0"/>
      <w:marRight w:val="0"/>
      <w:marTop w:val="0"/>
      <w:marBottom w:val="0"/>
      <w:divBdr>
        <w:top w:val="none" w:sz="0" w:space="0" w:color="auto"/>
        <w:left w:val="none" w:sz="0" w:space="0" w:color="auto"/>
        <w:bottom w:val="none" w:sz="0" w:space="0" w:color="auto"/>
        <w:right w:val="none" w:sz="0" w:space="0" w:color="auto"/>
      </w:divBdr>
      <w:divsChild>
        <w:div w:id="51852598">
          <w:marLeft w:val="0"/>
          <w:marRight w:val="0"/>
          <w:marTop w:val="0"/>
          <w:marBottom w:val="0"/>
          <w:divBdr>
            <w:top w:val="none" w:sz="0" w:space="0" w:color="auto"/>
            <w:left w:val="none" w:sz="0" w:space="0" w:color="auto"/>
            <w:bottom w:val="none" w:sz="0" w:space="0" w:color="auto"/>
            <w:right w:val="none" w:sz="0" w:space="0" w:color="auto"/>
          </w:divBdr>
        </w:div>
        <w:div w:id="285548285">
          <w:marLeft w:val="0"/>
          <w:marRight w:val="0"/>
          <w:marTop w:val="0"/>
          <w:marBottom w:val="0"/>
          <w:divBdr>
            <w:top w:val="none" w:sz="0" w:space="0" w:color="auto"/>
            <w:left w:val="none" w:sz="0" w:space="0" w:color="auto"/>
            <w:bottom w:val="none" w:sz="0" w:space="0" w:color="auto"/>
            <w:right w:val="none" w:sz="0" w:space="0" w:color="auto"/>
          </w:divBdr>
        </w:div>
        <w:div w:id="589392546">
          <w:marLeft w:val="0"/>
          <w:marRight w:val="0"/>
          <w:marTop w:val="0"/>
          <w:marBottom w:val="0"/>
          <w:divBdr>
            <w:top w:val="none" w:sz="0" w:space="0" w:color="auto"/>
            <w:left w:val="none" w:sz="0" w:space="0" w:color="auto"/>
            <w:bottom w:val="none" w:sz="0" w:space="0" w:color="auto"/>
            <w:right w:val="none" w:sz="0" w:space="0" w:color="auto"/>
          </w:divBdr>
        </w:div>
        <w:div w:id="605888014">
          <w:marLeft w:val="0"/>
          <w:marRight w:val="0"/>
          <w:marTop w:val="0"/>
          <w:marBottom w:val="0"/>
          <w:divBdr>
            <w:top w:val="none" w:sz="0" w:space="0" w:color="auto"/>
            <w:left w:val="none" w:sz="0" w:space="0" w:color="auto"/>
            <w:bottom w:val="none" w:sz="0" w:space="0" w:color="auto"/>
            <w:right w:val="none" w:sz="0" w:space="0" w:color="auto"/>
          </w:divBdr>
        </w:div>
        <w:div w:id="811757398">
          <w:marLeft w:val="0"/>
          <w:marRight w:val="0"/>
          <w:marTop w:val="0"/>
          <w:marBottom w:val="0"/>
          <w:divBdr>
            <w:top w:val="none" w:sz="0" w:space="0" w:color="auto"/>
            <w:left w:val="none" w:sz="0" w:space="0" w:color="auto"/>
            <w:bottom w:val="none" w:sz="0" w:space="0" w:color="auto"/>
            <w:right w:val="none" w:sz="0" w:space="0" w:color="auto"/>
          </w:divBdr>
        </w:div>
        <w:div w:id="913710329">
          <w:marLeft w:val="0"/>
          <w:marRight w:val="0"/>
          <w:marTop w:val="0"/>
          <w:marBottom w:val="0"/>
          <w:divBdr>
            <w:top w:val="none" w:sz="0" w:space="0" w:color="auto"/>
            <w:left w:val="none" w:sz="0" w:space="0" w:color="auto"/>
            <w:bottom w:val="none" w:sz="0" w:space="0" w:color="auto"/>
            <w:right w:val="none" w:sz="0" w:space="0" w:color="auto"/>
          </w:divBdr>
        </w:div>
        <w:div w:id="1021980373">
          <w:marLeft w:val="0"/>
          <w:marRight w:val="0"/>
          <w:marTop w:val="0"/>
          <w:marBottom w:val="0"/>
          <w:divBdr>
            <w:top w:val="none" w:sz="0" w:space="0" w:color="auto"/>
            <w:left w:val="none" w:sz="0" w:space="0" w:color="auto"/>
            <w:bottom w:val="none" w:sz="0" w:space="0" w:color="auto"/>
            <w:right w:val="none" w:sz="0" w:space="0" w:color="auto"/>
          </w:divBdr>
        </w:div>
        <w:div w:id="1339041651">
          <w:marLeft w:val="0"/>
          <w:marRight w:val="0"/>
          <w:marTop w:val="0"/>
          <w:marBottom w:val="0"/>
          <w:divBdr>
            <w:top w:val="none" w:sz="0" w:space="0" w:color="auto"/>
            <w:left w:val="none" w:sz="0" w:space="0" w:color="auto"/>
            <w:bottom w:val="none" w:sz="0" w:space="0" w:color="auto"/>
            <w:right w:val="none" w:sz="0" w:space="0" w:color="auto"/>
          </w:divBdr>
        </w:div>
        <w:div w:id="1661229367">
          <w:marLeft w:val="0"/>
          <w:marRight w:val="0"/>
          <w:marTop w:val="0"/>
          <w:marBottom w:val="0"/>
          <w:divBdr>
            <w:top w:val="none" w:sz="0" w:space="0" w:color="auto"/>
            <w:left w:val="none" w:sz="0" w:space="0" w:color="auto"/>
            <w:bottom w:val="none" w:sz="0" w:space="0" w:color="auto"/>
            <w:right w:val="none" w:sz="0" w:space="0" w:color="auto"/>
          </w:divBdr>
        </w:div>
        <w:div w:id="1825579962">
          <w:marLeft w:val="0"/>
          <w:marRight w:val="0"/>
          <w:marTop w:val="0"/>
          <w:marBottom w:val="0"/>
          <w:divBdr>
            <w:top w:val="none" w:sz="0" w:space="0" w:color="auto"/>
            <w:left w:val="none" w:sz="0" w:space="0" w:color="auto"/>
            <w:bottom w:val="none" w:sz="0" w:space="0" w:color="auto"/>
            <w:right w:val="none" w:sz="0" w:space="0" w:color="auto"/>
          </w:divBdr>
        </w:div>
        <w:div w:id="1839734293">
          <w:marLeft w:val="0"/>
          <w:marRight w:val="0"/>
          <w:marTop w:val="0"/>
          <w:marBottom w:val="0"/>
          <w:divBdr>
            <w:top w:val="none" w:sz="0" w:space="0" w:color="auto"/>
            <w:left w:val="none" w:sz="0" w:space="0" w:color="auto"/>
            <w:bottom w:val="none" w:sz="0" w:space="0" w:color="auto"/>
            <w:right w:val="none" w:sz="0" w:space="0" w:color="auto"/>
          </w:divBdr>
        </w:div>
        <w:div w:id="2007979819">
          <w:marLeft w:val="0"/>
          <w:marRight w:val="0"/>
          <w:marTop w:val="0"/>
          <w:marBottom w:val="0"/>
          <w:divBdr>
            <w:top w:val="none" w:sz="0" w:space="0" w:color="auto"/>
            <w:left w:val="none" w:sz="0" w:space="0" w:color="auto"/>
            <w:bottom w:val="none" w:sz="0" w:space="0" w:color="auto"/>
            <w:right w:val="none" w:sz="0" w:space="0" w:color="auto"/>
          </w:divBdr>
        </w:div>
        <w:div w:id="2026976732">
          <w:marLeft w:val="0"/>
          <w:marRight w:val="0"/>
          <w:marTop w:val="0"/>
          <w:marBottom w:val="0"/>
          <w:divBdr>
            <w:top w:val="none" w:sz="0" w:space="0" w:color="auto"/>
            <w:left w:val="none" w:sz="0" w:space="0" w:color="auto"/>
            <w:bottom w:val="none" w:sz="0" w:space="0" w:color="auto"/>
            <w:right w:val="none" w:sz="0" w:space="0" w:color="auto"/>
          </w:divBdr>
        </w:div>
      </w:divsChild>
    </w:div>
    <w:div w:id="668027323">
      <w:bodyDiv w:val="1"/>
      <w:marLeft w:val="0"/>
      <w:marRight w:val="0"/>
      <w:marTop w:val="0"/>
      <w:marBottom w:val="0"/>
      <w:divBdr>
        <w:top w:val="none" w:sz="0" w:space="0" w:color="auto"/>
        <w:left w:val="none" w:sz="0" w:space="0" w:color="auto"/>
        <w:bottom w:val="none" w:sz="0" w:space="0" w:color="auto"/>
        <w:right w:val="none" w:sz="0" w:space="0" w:color="auto"/>
      </w:divBdr>
    </w:div>
    <w:div w:id="714080721">
      <w:bodyDiv w:val="1"/>
      <w:marLeft w:val="0"/>
      <w:marRight w:val="0"/>
      <w:marTop w:val="0"/>
      <w:marBottom w:val="0"/>
      <w:divBdr>
        <w:top w:val="none" w:sz="0" w:space="0" w:color="auto"/>
        <w:left w:val="none" w:sz="0" w:space="0" w:color="auto"/>
        <w:bottom w:val="none" w:sz="0" w:space="0" w:color="auto"/>
        <w:right w:val="none" w:sz="0" w:space="0" w:color="auto"/>
      </w:divBdr>
    </w:div>
    <w:div w:id="728573132">
      <w:bodyDiv w:val="1"/>
      <w:marLeft w:val="0"/>
      <w:marRight w:val="0"/>
      <w:marTop w:val="0"/>
      <w:marBottom w:val="0"/>
      <w:divBdr>
        <w:top w:val="none" w:sz="0" w:space="0" w:color="auto"/>
        <w:left w:val="none" w:sz="0" w:space="0" w:color="auto"/>
        <w:bottom w:val="none" w:sz="0" w:space="0" w:color="auto"/>
        <w:right w:val="none" w:sz="0" w:space="0" w:color="auto"/>
      </w:divBdr>
      <w:divsChild>
        <w:div w:id="298221203">
          <w:marLeft w:val="0"/>
          <w:marRight w:val="0"/>
          <w:marTop w:val="0"/>
          <w:marBottom w:val="0"/>
          <w:divBdr>
            <w:top w:val="none" w:sz="0" w:space="0" w:color="auto"/>
            <w:left w:val="none" w:sz="0" w:space="0" w:color="auto"/>
            <w:bottom w:val="none" w:sz="0" w:space="0" w:color="auto"/>
            <w:right w:val="none" w:sz="0" w:space="0" w:color="auto"/>
          </w:divBdr>
        </w:div>
        <w:div w:id="315645316">
          <w:marLeft w:val="0"/>
          <w:marRight w:val="0"/>
          <w:marTop w:val="0"/>
          <w:marBottom w:val="0"/>
          <w:divBdr>
            <w:top w:val="none" w:sz="0" w:space="0" w:color="auto"/>
            <w:left w:val="none" w:sz="0" w:space="0" w:color="auto"/>
            <w:bottom w:val="none" w:sz="0" w:space="0" w:color="auto"/>
            <w:right w:val="none" w:sz="0" w:space="0" w:color="auto"/>
          </w:divBdr>
        </w:div>
        <w:div w:id="849298258">
          <w:marLeft w:val="0"/>
          <w:marRight w:val="0"/>
          <w:marTop w:val="0"/>
          <w:marBottom w:val="0"/>
          <w:divBdr>
            <w:top w:val="none" w:sz="0" w:space="0" w:color="auto"/>
            <w:left w:val="none" w:sz="0" w:space="0" w:color="auto"/>
            <w:bottom w:val="none" w:sz="0" w:space="0" w:color="auto"/>
            <w:right w:val="none" w:sz="0" w:space="0" w:color="auto"/>
          </w:divBdr>
        </w:div>
        <w:div w:id="1289238949">
          <w:marLeft w:val="0"/>
          <w:marRight w:val="0"/>
          <w:marTop w:val="0"/>
          <w:marBottom w:val="0"/>
          <w:divBdr>
            <w:top w:val="none" w:sz="0" w:space="0" w:color="auto"/>
            <w:left w:val="none" w:sz="0" w:space="0" w:color="auto"/>
            <w:bottom w:val="none" w:sz="0" w:space="0" w:color="auto"/>
            <w:right w:val="none" w:sz="0" w:space="0" w:color="auto"/>
          </w:divBdr>
        </w:div>
        <w:div w:id="2096435092">
          <w:marLeft w:val="0"/>
          <w:marRight w:val="0"/>
          <w:marTop w:val="0"/>
          <w:marBottom w:val="0"/>
          <w:divBdr>
            <w:top w:val="none" w:sz="0" w:space="0" w:color="auto"/>
            <w:left w:val="none" w:sz="0" w:space="0" w:color="auto"/>
            <w:bottom w:val="none" w:sz="0" w:space="0" w:color="auto"/>
            <w:right w:val="none" w:sz="0" w:space="0" w:color="auto"/>
          </w:divBdr>
        </w:div>
      </w:divsChild>
    </w:div>
    <w:div w:id="749814554">
      <w:bodyDiv w:val="1"/>
      <w:marLeft w:val="0"/>
      <w:marRight w:val="0"/>
      <w:marTop w:val="0"/>
      <w:marBottom w:val="0"/>
      <w:divBdr>
        <w:top w:val="none" w:sz="0" w:space="0" w:color="auto"/>
        <w:left w:val="none" w:sz="0" w:space="0" w:color="auto"/>
        <w:bottom w:val="none" w:sz="0" w:space="0" w:color="auto"/>
        <w:right w:val="none" w:sz="0" w:space="0" w:color="auto"/>
      </w:divBdr>
    </w:div>
    <w:div w:id="754864552">
      <w:bodyDiv w:val="1"/>
      <w:marLeft w:val="0"/>
      <w:marRight w:val="0"/>
      <w:marTop w:val="0"/>
      <w:marBottom w:val="0"/>
      <w:divBdr>
        <w:top w:val="none" w:sz="0" w:space="0" w:color="auto"/>
        <w:left w:val="none" w:sz="0" w:space="0" w:color="auto"/>
        <w:bottom w:val="none" w:sz="0" w:space="0" w:color="auto"/>
        <w:right w:val="none" w:sz="0" w:space="0" w:color="auto"/>
      </w:divBdr>
      <w:divsChild>
        <w:div w:id="50736427">
          <w:marLeft w:val="0"/>
          <w:marRight w:val="0"/>
          <w:marTop w:val="0"/>
          <w:marBottom w:val="0"/>
          <w:divBdr>
            <w:top w:val="none" w:sz="0" w:space="0" w:color="auto"/>
            <w:left w:val="none" w:sz="0" w:space="0" w:color="auto"/>
            <w:bottom w:val="none" w:sz="0" w:space="0" w:color="auto"/>
            <w:right w:val="none" w:sz="0" w:space="0" w:color="auto"/>
          </w:divBdr>
        </w:div>
        <w:div w:id="371658166">
          <w:marLeft w:val="0"/>
          <w:marRight w:val="0"/>
          <w:marTop w:val="0"/>
          <w:marBottom w:val="0"/>
          <w:divBdr>
            <w:top w:val="none" w:sz="0" w:space="0" w:color="auto"/>
            <w:left w:val="none" w:sz="0" w:space="0" w:color="auto"/>
            <w:bottom w:val="none" w:sz="0" w:space="0" w:color="auto"/>
            <w:right w:val="none" w:sz="0" w:space="0" w:color="auto"/>
          </w:divBdr>
        </w:div>
        <w:div w:id="756750554">
          <w:marLeft w:val="0"/>
          <w:marRight w:val="0"/>
          <w:marTop w:val="0"/>
          <w:marBottom w:val="0"/>
          <w:divBdr>
            <w:top w:val="none" w:sz="0" w:space="0" w:color="auto"/>
            <w:left w:val="none" w:sz="0" w:space="0" w:color="auto"/>
            <w:bottom w:val="none" w:sz="0" w:space="0" w:color="auto"/>
            <w:right w:val="none" w:sz="0" w:space="0" w:color="auto"/>
          </w:divBdr>
        </w:div>
        <w:div w:id="785080928">
          <w:marLeft w:val="0"/>
          <w:marRight w:val="0"/>
          <w:marTop w:val="0"/>
          <w:marBottom w:val="0"/>
          <w:divBdr>
            <w:top w:val="none" w:sz="0" w:space="0" w:color="auto"/>
            <w:left w:val="none" w:sz="0" w:space="0" w:color="auto"/>
            <w:bottom w:val="none" w:sz="0" w:space="0" w:color="auto"/>
            <w:right w:val="none" w:sz="0" w:space="0" w:color="auto"/>
          </w:divBdr>
        </w:div>
        <w:div w:id="934091236">
          <w:marLeft w:val="0"/>
          <w:marRight w:val="0"/>
          <w:marTop w:val="0"/>
          <w:marBottom w:val="0"/>
          <w:divBdr>
            <w:top w:val="none" w:sz="0" w:space="0" w:color="auto"/>
            <w:left w:val="none" w:sz="0" w:space="0" w:color="auto"/>
            <w:bottom w:val="none" w:sz="0" w:space="0" w:color="auto"/>
            <w:right w:val="none" w:sz="0" w:space="0" w:color="auto"/>
          </w:divBdr>
        </w:div>
        <w:div w:id="1021204047">
          <w:marLeft w:val="0"/>
          <w:marRight w:val="0"/>
          <w:marTop w:val="0"/>
          <w:marBottom w:val="0"/>
          <w:divBdr>
            <w:top w:val="none" w:sz="0" w:space="0" w:color="auto"/>
            <w:left w:val="none" w:sz="0" w:space="0" w:color="auto"/>
            <w:bottom w:val="none" w:sz="0" w:space="0" w:color="auto"/>
            <w:right w:val="none" w:sz="0" w:space="0" w:color="auto"/>
          </w:divBdr>
        </w:div>
        <w:div w:id="1305161596">
          <w:marLeft w:val="0"/>
          <w:marRight w:val="0"/>
          <w:marTop w:val="0"/>
          <w:marBottom w:val="0"/>
          <w:divBdr>
            <w:top w:val="none" w:sz="0" w:space="0" w:color="auto"/>
            <w:left w:val="none" w:sz="0" w:space="0" w:color="auto"/>
            <w:bottom w:val="none" w:sz="0" w:space="0" w:color="auto"/>
            <w:right w:val="none" w:sz="0" w:space="0" w:color="auto"/>
          </w:divBdr>
        </w:div>
        <w:div w:id="1419594024">
          <w:marLeft w:val="0"/>
          <w:marRight w:val="0"/>
          <w:marTop w:val="0"/>
          <w:marBottom w:val="0"/>
          <w:divBdr>
            <w:top w:val="none" w:sz="0" w:space="0" w:color="auto"/>
            <w:left w:val="none" w:sz="0" w:space="0" w:color="auto"/>
            <w:bottom w:val="none" w:sz="0" w:space="0" w:color="auto"/>
            <w:right w:val="none" w:sz="0" w:space="0" w:color="auto"/>
          </w:divBdr>
        </w:div>
        <w:div w:id="1775054047">
          <w:marLeft w:val="0"/>
          <w:marRight w:val="0"/>
          <w:marTop w:val="0"/>
          <w:marBottom w:val="0"/>
          <w:divBdr>
            <w:top w:val="none" w:sz="0" w:space="0" w:color="auto"/>
            <w:left w:val="none" w:sz="0" w:space="0" w:color="auto"/>
            <w:bottom w:val="none" w:sz="0" w:space="0" w:color="auto"/>
            <w:right w:val="none" w:sz="0" w:space="0" w:color="auto"/>
          </w:divBdr>
        </w:div>
        <w:div w:id="1779137256">
          <w:marLeft w:val="0"/>
          <w:marRight w:val="0"/>
          <w:marTop w:val="0"/>
          <w:marBottom w:val="0"/>
          <w:divBdr>
            <w:top w:val="none" w:sz="0" w:space="0" w:color="auto"/>
            <w:left w:val="none" w:sz="0" w:space="0" w:color="auto"/>
            <w:bottom w:val="none" w:sz="0" w:space="0" w:color="auto"/>
            <w:right w:val="none" w:sz="0" w:space="0" w:color="auto"/>
          </w:divBdr>
        </w:div>
        <w:div w:id="1855260852">
          <w:marLeft w:val="0"/>
          <w:marRight w:val="0"/>
          <w:marTop w:val="0"/>
          <w:marBottom w:val="0"/>
          <w:divBdr>
            <w:top w:val="none" w:sz="0" w:space="0" w:color="auto"/>
            <w:left w:val="none" w:sz="0" w:space="0" w:color="auto"/>
            <w:bottom w:val="none" w:sz="0" w:space="0" w:color="auto"/>
            <w:right w:val="none" w:sz="0" w:space="0" w:color="auto"/>
          </w:divBdr>
        </w:div>
        <w:div w:id="1880701137">
          <w:marLeft w:val="0"/>
          <w:marRight w:val="0"/>
          <w:marTop w:val="0"/>
          <w:marBottom w:val="0"/>
          <w:divBdr>
            <w:top w:val="none" w:sz="0" w:space="0" w:color="auto"/>
            <w:left w:val="none" w:sz="0" w:space="0" w:color="auto"/>
            <w:bottom w:val="none" w:sz="0" w:space="0" w:color="auto"/>
            <w:right w:val="none" w:sz="0" w:space="0" w:color="auto"/>
          </w:divBdr>
        </w:div>
        <w:div w:id="2060590702">
          <w:marLeft w:val="0"/>
          <w:marRight w:val="0"/>
          <w:marTop w:val="0"/>
          <w:marBottom w:val="0"/>
          <w:divBdr>
            <w:top w:val="none" w:sz="0" w:space="0" w:color="auto"/>
            <w:left w:val="none" w:sz="0" w:space="0" w:color="auto"/>
            <w:bottom w:val="none" w:sz="0" w:space="0" w:color="auto"/>
            <w:right w:val="none" w:sz="0" w:space="0" w:color="auto"/>
          </w:divBdr>
        </w:div>
      </w:divsChild>
    </w:div>
    <w:div w:id="777405389">
      <w:bodyDiv w:val="1"/>
      <w:marLeft w:val="0"/>
      <w:marRight w:val="0"/>
      <w:marTop w:val="0"/>
      <w:marBottom w:val="0"/>
      <w:divBdr>
        <w:top w:val="none" w:sz="0" w:space="0" w:color="auto"/>
        <w:left w:val="none" w:sz="0" w:space="0" w:color="auto"/>
        <w:bottom w:val="none" w:sz="0" w:space="0" w:color="auto"/>
        <w:right w:val="none" w:sz="0" w:space="0" w:color="auto"/>
      </w:divBdr>
      <w:divsChild>
        <w:div w:id="52319956">
          <w:marLeft w:val="0"/>
          <w:marRight w:val="0"/>
          <w:marTop w:val="0"/>
          <w:marBottom w:val="0"/>
          <w:divBdr>
            <w:top w:val="none" w:sz="0" w:space="0" w:color="auto"/>
            <w:left w:val="none" w:sz="0" w:space="0" w:color="auto"/>
            <w:bottom w:val="none" w:sz="0" w:space="0" w:color="auto"/>
            <w:right w:val="none" w:sz="0" w:space="0" w:color="auto"/>
          </w:divBdr>
        </w:div>
        <w:div w:id="116026180">
          <w:marLeft w:val="0"/>
          <w:marRight w:val="0"/>
          <w:marTop w:val="0"/>
          <w:marBottom w:val="0"/>
          <w:divBdr>
            <w:top w:val="none" w:sz="0" w:space="0" w:color="auto"/>
            <w:left w:val="none" w:sz="0" w:space="0" w:color="auto"/>
            <w:bottom w:val="none" w:sz="0" w:space="0" w:color="auto"/>
            <w:right w:val="none" w:sz="0" w:space="0" w:color="auto"/>
          </w:divBdr>
        </w:div>
        <w:div w:id="1018433600">
          <w:marLeft w:val="0"/>
          <w:marRight w:val="0"/>
          <w:marTop w:val="0"/>
          <w:marBottom w:val="0"/>
          <w:divBdr>
            <w:top w:val="none" w:sz="0" w:space="0" w:color="auto"/>
            <w:left w:val="none" w:sz="0" w:space="0" w:color="auto"/>
            <w:bottom w:val="none" w:sz="0" w:space="0" w:color="auto"/>
            <w:right w:val="none" w:sz="0" w:space="0" w:color="auto"/>
          </w:divBdr>
        </w:div>
        <w:div w:id="1079713773">
          <w:marLeft w:val="0"/>
          <w:marRight w:val="0"/>
          <w:marTop w:val="0"/>
          <w:marBottom w:val="0"/>
          <w:divBdr>
            <w:top w:val="none" w:sz="0" w:space="0" w:color="auto"/>
            <w:left w:val="none" w:sz="0" w:space="0" w:color="auto"/>
            <w:bottom w:val="none" w:sz="0" w:space="0" w:color="auto"/>
            <w:right w:val="none" w:sz="0" w:space="0" w:color="auto"/>
          </w:divBdr>
        </w:div>
        <w:div w:id="1783260671">
          <w:marLeft w:val="0"/>
          <w:marRight w:val="0"/>
          <w:marTop w:val="0"/>
          <w:marBottom w:val="0"/>
          <w:divBdr>
            <w:top w:val="none" w:sz="0" w:space="0" w:color="auto"/>
            <w:left w:val="none" w:sz="0" w:space="0" w:color="auto"/>
            <w:bottom w:val="none" w:sz="0" w:space="0" w:color="auto"/>
            <w:right w:val="none" w:sz="0" w:space="0" w:color="auto"/>
          </w:divBdr>
        </w:div>
      </w:divsChild>
    </w:div>
    <w:div w:id="831605106">
      <w:bodyDiv w:val="1"/>
      <w:marLeft w:val="0"/>
      <w:marRight w:val="0"/>
      <w:marTop w:val="0"/>
      <w:marBottom w:val="0"/>
      <w:divBdr>
        <w:top w:val="none" w:sz="0" w:space="0" w:color="auto"/>
        <w:left w:val="none" w:sz="0" w:space="0" w:color="auto"/>
        <w:bottom w:val="none" w:sz="0" w:space="0" w:color="auto"/>
        <w:right w:val="none" w:sz="0" w:space="0" w:color="auto"/>
      </w:divBdr>
    </w:div>
    <w:div w:id="855769750">
      <w:bodyDiv w:val="1"/>
      <w:marLeft w:val="0"/>
      <w:marRight w:val="0"/>
      <w:marTop w:val="0"/>
      <w:marBottom w:val="0"/>
      <w:divBdr>
        <w:top w:val="none" w:sz="0" w:space="0" w:color="auto"/>
        <w:left w:val="none" w:sz="0" w:space="0" w:color="auto"/>
        <w:bottom w:val="none" w:sz="0" w:space="0" w:color="auto"/>
        <w:right w:val="none" w:sz="0" w:space="0" w:color="auto"/>
      </w:divBdr>
      <w:divsChild>
        <w:div w:id="56176204">
          <w:marLeft w:val="0"/>
          <w:marRight w:val="0"/>
          <w:marTop w:val="0"/>
          <w:marBottom w:val="0"/>
          <w:divBdr>
            <w:top w:val="none" w:sz="0" w:space="0" w:color="auto"/>
            <w:left w:val="none" w:sz="0" w:space="0" w:color="auto"/>
            <w:bottom w:val="none" w:sz="0" w:space="0" w:color="auto"/>
            <w:right w:val="none" w:sz="0" w:space="0" w:color="auto"/>
          </w:divBdr>
        </w:div>
        <w:div w:id="323163045">
          <w:marLeft w:val="0"/>
          <w:marRight w:val="0"/>
          <w:marTop w:val="0"/>
          <w:marBottom w:val="0"/>
          <w:divBdr>
            <w:top w:val="none" w:sz="0" w:space="0" w:color="auto"/>
            <w:left w:val="none" w:sz="0" w:space="0" w:color="auto"/>
            <w:bottom w:val="none" w:sz="0" w:space="0" w:color="auto"/>
            <w:right w:val="none" w:sz="0" w:space="0" w:color="auto"/>
          </w:divBdr>
        </w:div>
        <w:div w:id="404960402">
          <w:marLeft w:val="0"/>
          <w:marRight w:val="0"/>
          <w:marTop w:val="0"/>
          <w:marBottom w:val="0"/>
          <w:divBdr>
            <w:top w:val="none" w:sz="0" w:space="0" w:color="auto"/>
            <w:left w:val="none" w:sz="0" w:space="0" w:color="auto"/>
            <w:bottom w:val="none" w:sz="0" w:space="0" w:color="auto"/>
            <w:right w:val="none" w:sz="0" w:space="0" w:color="auto"/>
          </w:divBdr>
        </w:div>
        <w:div w:id="639723520">
          <w:marLeft w:val="0"/>
          <w:marRight w:val="0"/>
          <w:marTop w:val="0"/>
          <w:marBottom w:val="0"/>
          <w:divBdr>
            <w:top w:val="none" w:sz="0" w:space="0" w:color="auto"/>
            <w:left w:val="none" w:sz="0" w:space="0" w:color="auto"/>
            <w:bottom w:val="none" w:sz="0" w:space="0" w:color="auto"/>
            <w:right w:val="none" w:sz="0" w:space="0" w:color="auto"/>
          </w:divBdr>
        </w:div>
        <w:div w:id="687293359">
          <w:marLeft w:val="0"/>
          <w:marRight w:val="0"/>
          <w:marTop w:val="0"/>
          <w:marBottom w:val="0"/>
          <w:divBdr>
            <w:top w:val="none" w:sz="0" w:space="0" w:color="auto"/>
            <w:left w:val="none" w:sz="0" w:space="0" w:color="auto"/>
            <w:bottom w:val="none" w:sz="0" w:space="0" w:color="auto"/>
            <w:right w:val="none" w:sz="0" w:space="0" w:color="auto"/>
          </w:divBdr>
        </w:div>
        <w:div w:id="827092730">
          <w:marLeft w:val="0"/>
          <w:marRight w:val="0"/>
          <w:marTop w:val="0"/>
          <w:marBottom w:val="0"/>
          <w:divBdr>
            <w:top w:val="none" w:sz="0" w:space="0" w:color="auto"/>
            <w:left w:val="none" w:sz="0" w:space="0" w:color="auto"/>
            <w:bottom w:val="none" w:sz="0" w:space="0" w:color="auto"/>
            <w:right w:val="none" w:sz="0" w:space="0" w:color="auto"/>
          </w:divBdr>
        </w:div>
        <w:div w:id="1854958610">
          <w:marLeft w:val="0"/>
          <w:marRight w:val="0"/>
          <w:marTop w:val="0"/>
          <w:marBottom w:val="0"/>
          <w:divBdr>
            <w:top w:val="none" w:sz="0" w:space="0" w:color="auto"/>
            <w:left w:val="none" w:sz="0" w:space="0" w:color="auto"/>
            <w:bottom w:val="none" w:sz="0" w:space="0" w:color="auto"/>
            <w:right w:val="none" w:sz="0" w:space="0" w:color="auto"/>
          </w:divBdr>
        </w:div>
        <w:div w:id="2085301301">
          <w:marLeft w:val="0"/>
          <w:marRight w:val="0"/>
          <w:marTop w:val="0"/>
          <w:marBottom w:val="0"/>
          <w:divBdr>
            <w:top w:val="none" w:sz="0" w:space="0" w:color="auto"/>
            <w:left w:val="none" w:sz="0" w:space="0" w:color="auto"/>
            <w:bottom w:val="none" w:sz="0" w:space="0" w:color="auto"/>
            <w:right w:val="none" w:sz="0" w:space="0" w:color="auto"/>
          </w:divBdr>
        </w:div>
        <w:div w:id="2106029485">
          <w:marLeft w:val="0"/>
          <w:marRight w:val="0"/>
          <w:marTop w:val="0"/>
          <w:marBottom w:val="0"/>
          <w:divBdr>
            <w:top w:val="none" w:sz="0" w:space="0" w:color="auto"/>
            <w:left w:val="none" w:sz="0" w:space="0" w:color="auto"/>
            <w:bottom w:val="none" w:sz="0" w:space="0" w:color="auto"/>
            <w:right w:val="none" w:sz="0" w:space="0" w:color="auto"/>
          </w:divBdr>
        </w:div>
      </w:divsChild>
    </w:div>
    <w:div w:id="1025593239">
      <w:bodyDiv w:val="1"/>
      <w:marLeft w:val="0"/>
      <w:marRight w:val="0"/>
      <w:marTop w:val="0"/>
      <w:marBottom w:val="0"/>
      <w:divBdr>
        <w:top w:val="none" w:sz="0" w:space="0" w:color="auto"/>
        <w:left w:val="none" w:sz="0" w:space="0" w:color="auto"/>
        <w:bottom w:val="none" w:sz="0" w:space="0" w:color="auto"/>
        <w:right w:val="none" w:sz="0" w:space="0" w:color="auto"/>
      </w:divBdr>
    </w:div>
    <w:div w:id="1453019844">
      <w:bodyDiv w:val="1"/>
      <w:marLeft w:val="0"/>
      <w:marRight w:val="0"/>
      <w:marTop w:val="0"/>
      <w:marBottom w:val="0"/>
      <w:divBdr>
        <w:top w:val="none" w:sz="0" w:space="0" w:color="auto"/>
        <w:left w:val="none" w:sz="0" w:space="0" w:color="auto"/>
        <w:bottom w:val="none" w:sz="0" w:space="0" w:color="auto"/>
        <w:right w:val="none" w:sz="0" w:space="0" w:color="auto"/>
      </w:divBdr>
    </w:div>
    <w:div w:id="1511674678">
      <w:bodyDiv w:val="1"/>
      <w:marLeft w:val="0"/>
      <w:marRight w:val="0"/>
      <w:marTop w:val="0"/>
      <w:marBottom w:val="0"/>
      <w:divBdr>
        <w:top w:val="none" w:sz="0" w:space="0" w:color="auto"/>
        <w:left w:val="none" w:sz="0" w:space="0" w:color="auto"/>
        <w:bottom w:val="none" w:sz="0" w:space="0" w:color="auto"/>
        <w:right w:val="none" w:sz="0" w:space="0" w:color="auto"/>
      </w:divBdr>
      <w:divsChild>
        <w:div w:id="426661272">
          <w:marLeft w:val="0"/>
          <w:marRight w:val="0"/>
          <w:marTop w:val="0"/>
          <w:marBottom w:val="0"/>
          <w:divBdr>
            <w:top w:val="none" w:sz="0" w:space="0" w:color="auto"/>
            <w:left w:val="none" w:sz="0" w:space="0" w:color="auto"/>
            <w:bottom w:val="none" w:sz="0" w:space="0" w:color="auto"/>
            <w:right w:val="none" w:sz="0" w:space="0" w:color="auto"/>
          </w:divBdr>
        </w:div>
        <w:div w:id="1065254403">
          <w:marLeft w:val="0"/>
          <w:marRight w:val="0"/>
          <w:marTop w:val="0"/>
          <w:marBottom w:val="0"/>
          <w:divBdr>
            <w:top w:val="none" w:sz="0" w:space="0" w:color="auto"/>
            <w:left w:val="none" w:sz="0" w:space="0" w:color="auto"/>
            <w:bottom w:val="none" w:sz="0" w:space="0" w:color="auto"/>
            <w:right w:val="none" w:sz="0" w:space="0" w:color="auto"/>
          </w:divBdr>
        </w:div>
        <w:div w:id="1441992370">
          <w:marLeft w:val="0"/>
          <w:marRight w:val="0"/>
          <w:marTop w:val="0"/>
          <w:marBottom w:val="0"/>
          <w:divBdr>
            <w:top w:val="none" w:sz="0" w:space="0" w:color="auto"/>
            <w:left w:val="none" w:sz="0" w:space="0" w:color="auto"/>
            <w:bottom w:val="none" w:sz="0" w:space="0" w:color="auto"/>
            <w:right w:val="none" w:sz="0" w:space="0" w:color="auto"/>
          </w:divBdr>
        </w:div>
      </w:divsChild>
    </w:div>
    <w:div w:id="1743794827">
      <w:bodyDiv w:val="1"/>
      <w:marLeft w:val="0"/>
      <w:marRight w:val="0"/>
      <w:marTop w:val="0"/>
      <w:marBottom w:val="0"/>
      <w:divBdr>
        <w:top w:val="none" w:sz="0" w:space="0" w:color="auto"/>
        <w:left w:val="none" w:sz="0" w:space="0" w:color="auto"/>
        <w:bottom w:val="none" w:sz="0" w:space="0" w:color="auto"/>
        <w:right w:val="none" w:sz="0" w:space="0" w:color="auto"/>
      </w:divBdr>
      <w:divsChild>
        <w:div w:id="540284128">
          <w:marLeft w:val="0"/>
          <w:marRight w:val="0"/>
          <w:marTop w:val="0"/>
          <w:marBottom w:val="0"/>
          <w:divBdr>
            <w:top w:val="none" w:sz="0" w:space="0" w:color="auto"/>
            <w:left w:val="none" w:sz="0" w:space="0" w:color="auto"/>
            <w:bottom w:val="none" w:sz="0" w:space="0" w:color="auto"/>
            <w:right w:val="none" w:sz="0" w:space="0" w:color="auto"/>
          </w:divBdr>
          <w:divsChild>
            <w:div w:id="1261179202">
              <w:marLeft w:val="0"/>
              <w:marRight w:val="0"/>
              <w:marTop w:val="0"/>
              <w:marBottom w:val="0"/>
              <w:divBdr>
                <w:top w:val="none" w:sz="0" w:space="0" w:color="auto"/>
                <w:left w:val="none" w:sz="0" w:space="0" w:color="auto"/>
                <w:bottom w:val="none" w:sz="0" w:space="0" w:color="auto"/>
                <w:right w:val="none" w:sz="0" w:space="0" w:color="auto"/>
              </w:divBdr>
            </w:div>
          </w:divsChild>
        </w:div>
        <w:div w:id="1431244914">
          <w:marLeft w:val="0"/>
          <w:marRight w:val="0"/>
          <w:marTop w:val="0"/>
          <w:marBottom w:val="0"/>
          <w:divBdr>
            <w:top w:val="none" w:sz="0" w:space="0" w:color="auto"/>
            <w:left w:val="none" w:sz="0" w:space="0" w:color="auto"/>
            <w:bottom w:val="none" w:sz="0" w:space="0" w:color="auto"/>
            <w:right w:val="none" w:sz="0" w:space="0" w:color="auto"/>
          </w:divBdr>
          <w:divsChild>
            <w:div w:id="924918448">
              <w:marLeft w:val="0"/>
              <w:marRight w:val="0"/>
              <w:marTop w:val="0"/>
              <w:marBottom w:val="0"/>
              <w:divBdr>
                <w:top w:val="none" w:sz="0" w:space="0" w:color="auto"/>
                <w:left w:val="none" w:sz="0" w:space="0" w:color="auto"/>
                <w:bottom w:val="none" w:sz="0" w:space="0" w:color="auto"/>
                <w:right w:val="none" w:sz="0" w:space="0" w:color="auto"/>
              </w:divBdr>
              <w:divsChild>
                <w:div w:id="81317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391813">
      <w:bodyDiv w:val="1"/>
      <w:marLeft w:val="0"/>
      <w:marRight w:val="0"/>
      <w:marTop w:val="0"/>
      <w:marBottom w:val="0"/>
      <w:divBdr>
        <w:top w:val="none" w:sz="0" w:space="0" w:color="auto"/>
        <w:left w:val="none" w:sz="0" w:space="0" w:color="auto"/>
        <w:bottom w:val="none" w:sz="0" w:space="0" w:color="auto"/>
        <w:right w:val="none" w:sz="0" w:space="0" w:color="auto"/>
      </w:divBdr>
    </w:div>
    <w:div w:id="1833637379">
      <w:bodyDiv w:val="1"/>
      <w:marLeft w:val="0"/>
      <w:marRight w:val="0"/>
      <w:marTop w:val="0"/>
      <w:marBottom w:val="0"/>
      <w:divBdr>
        <w:top w:val="none" w:sz="0" w:space="0" w:color="auto"/>
        <w:left w:val="none" w:sz="0" w:space="0" w:color="auto"/>
        <w:bottom w:val="none" w:sz="0" w:space="0" w:color="auto"/>
        <w:right w:val="none" w:sz="0" w:space="0" w:color="auto"/>
      </w:divBdr>
    </w:div>
    <w:div w:id="1972711106">
      <w:bodyDiv w:val="1"/>
      <w:marLeft w:val="0"/>
      <w:marRight w:val="0"/>
      <w:marTop w:val="0"/>
      <w:marBottom w:val="0"/>
      <w:divBdr>
        <w:top w:val="none" w:sz="0" w:space="0" w:color="auto"/>
        <w:left w:val="none" w:sz="0" w:space="0" w:color="auto"/>
        <w:bottom w:val="none" w:sz="0" w:space="0" w:color="auto"/>
        <w:right w:val="none" w:sz="0" w:space="0" w:color="auto"/>
      </w:divBdr>
      <w:divsChild>
        <w:div w:id="23747867">
          <w:marLeft w:val="0"/>
          <w:marRight w:val="0"/>
          <w:marTop w:val="0"/>
          <w:marBottom w:val="0"/>
          <w:divBdr>
            <w:top w:val="none" w:sz="0" w:space="0" w:color="auto"/>
            <w:left w:val="none" w:sz="0" w:space="0" w:color="auto"/>
            <w:bottom w:val="none" w:sz="0" w:space="0" w:color="auto"/>
            <w:right w:val="none" w:sz="0" w:space="0" w:color="auto"/>
          </w:divBdr>
        </w:div>
        <w:div w:id="180167071">
          <w:marLeft w:val="0"/>
          <w:marRight w:val="0"/>
          <w:marTop w:val="0"/>
          <w:marBottom w:val="0"/>
          <w:divBdr>
            <w:top w:val="none" w:sz="0" w:space="0" w:color="auto"/>
            <w:left w:val="none" w:sz="0" w:space="0" w:color="auto"/>
            <w:bottom w:val="none" w:sz="0" w:space="0" w:color="auto"/>
            <w:right w:val="none" w:sz="0" w:space="0" w:color="auto"/>
          </w:divBdr>
        </w:div>
        <w:div w:id="1777286238">
          <w:marLeft w:val="0"/>
          <w:marRight w:val="0"/>
          <w:marTop w:val="0"/>
          <w:marBottom w:val="0"/>
          <w:divBdr>
            <w:top w:val="none" w:sz="0" w:space="0" w:color="auto"/>
            <w:left w:val="none" w:sz="0" w:space="0" w:color="auto"/>
            <w:bottom w:val="none" w:sz="0" w:space="0" w:color="auto"/>
            <w:right w:val="none" w:sz="0" w:space="0" w:color="auto"/>
          </w:divBdr>
        </w:div>
      </w:divsChild>
    </w:div>
    <w:div w:id="207978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sagepub.com/doi/full/10.1177/0149206318776772" TargetMode="Externa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xxx.sagepub.com/supplemental" TargetMode="Externa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632B9-A1AC-4A88-AA94-304792923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14969</Words>
  <Characters>85326</Characters>
  <Application>Microsoft Office Word</Application>
  <DocSecurity>0</DocSecurity>
  <Lines>711</Lines>
  <Paragraphs>200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Triana</dc:creator>
  <cp:lastModifiedBy>Triana, Maria</cp:lastModifiedBy>
  <cp:revision>2</cp:revision>
  <cp:lastPrinted>2018-04-10T16:52:00Z</cp:lastPrinted>
  <dcterms:created xsi:type="dcterms:W3CDTF">2022-04-02T22:47:00Z</dcterms:created>
  <dcterms:modified xsi:type="dcterms:W3CDTF">2022-04-02T22:47:00Z</dcterms:modified>
</cp:coreProperties>
</file>